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F6F" w:rsidRPr="00B977CB" w:rsidRDefault="00C73F6F" w:rsidP="00C73F6F">
      <w:pPr>
        <w:jc w:val="center"/>
        <w:rPr>
          <w:b/>
          <w:color w:val="000000"/>
          <w:sz w:val="28"/>
          <w:szCs w:val="28"/>
        </w:rPr>
      </w:pPr>
      <w:r w:rsidRPr="00B977CB">
        <w:rPr>
          <w:sz w:val="28"/>
        </w:rPr>
        <w:t>PAKALPOJUMA LĪGUMS</w:t>
      </w:r>
    </w:p>
    <w:p w:rsidR="00C73F6F" w:rsidRPr="00B977CB" w:rsidRDefault="00C73F6F" w:rsidP="00C73F6F">
      <w:pPr>
        <w:jc w:val="center"/>
        <w:rPr>
          <w:b/>
          <w:color w:val="000000"/>
          <w:sz w:val="28"/>
          <w:szCs w:val="28"/>
        </w:rPr>
      </w:pPr>
      <w:r w:rsidRPr="00B977CB">
        <w:rPr>
          <w:b/>
          <w:color w:val="000000"/>
          <w:sz w:val="28"/>
          <w:szCs w:val="28"/>
        </w:rPr>
        <w:t xml:space="preserve">par būvprojekta ’’Sporta </w:t>
      </w:r>
      <w:r w:rsidRPr="00B977CB">
        <w:rPr>
          <w:b/>
          <w:sz w:val="28"/>
          <w:szCs w:val="28"/>
        </w:rPr>
        <w:t xml:space="preserve">stadiona pārbūve Pulkveža Oskara Kalpaka ielā 34A’’ </w:t>
      </w:r>
      <w:r w:rsidRPr="00B977CB">
        <w:rPr>
          <w:b/>
          <w:color w:val="000000"/>
          <w:sz w:val="28"/>
          <w:szCs w:val="28"/>
        </w:rPr>
        <w:t>izstrādi</w:t>
      </w:r>
    </w:p>
    <w:p w:rsidR="00C73F6F" w:rsidRPr="00B977CB" w:rsidRDefault="00C73F6F" w:rsidP="00C73F6F">
      <w:pPr>
        <w:jc w:val="center"/>
        <w:rPr>
          <w:b/>
          <w:color w:val="000000"/>
          <w:sz w:val="28"/>
          <w:szCs w:val="28"/>
        </w:rPr>
      </w:pPr>
    </w:p>
    <w:p w:rsidR="00C73F6F" w:rsidRPr="00B977CB" w:rsidRDefault="00C73F6F" w:rsidP="00555270">
      <w:pPr>
        <w:pStyle w:val="ColorfulList-Accent11"/>
        <w:spacing w:after="0" w:line="240" w:lineRule="auto"/>
        <w:ind w:left="0"/>
        <w:rPr>
          <w:bCs/>
          <w:sz w:val="24"/>
          <w:szCs w:val="24"/>
        </w:rPr>
      </w:pPr>
      <w:r w:rsidRPr="00B977CB">
        <w:rPr>
          <w:bCs/>
          <w:sz w:val="24"/>
          <w:szCs w:val="24"/>
        </w:rPr>
        <w:t>Jelgava</w:t>
      </w:r>
      <w:r w:rsidRPr="00B977CB">
        <w:rPr>
          <w:bCs/>
          <w:sz w:val="24"/>
          <w:szCs w:val="24"/>
        </w:rPr>
        <w:tab/>
      </w:r>
      <w:r w:rsidRPr="00B977CB">
        <w:rPr>
          <w:bCs/>
          <w:sz w:val="24"/>
          <w:szCs w:val="24"/>
        </w:rPr>
        <w:tab/>
      </w:r>
      <w:r w:rsidRPr="00B977CB">
        <w:rPr>
          <w:bCs/>
          <w:sz w:val="24"/>
          <w:szCs w:val="24"/>
        </w:rPr>
        <w:tab/>
      </w:r>
      <w:r w:rsidRPr="00B977CB">
        <w:rPr>
          <w:bCs/>
          <w:sz w:val="24"/>
          <w:szCs w:val="24"/>
        </w:rPr>
        <w:tab/>
      </w:r>
      <w:r w:rsidRPr="00B977CB">
        <w:rPr>
          <w:bCs/>
          <w:sz w:val="24"/>
          <w:szCs w:val="24"/>
        </w:rPr>
        <w:tab/>
      </w:r>
      <w:r w:rsidRPr="00B977CB">
        <w:rPr>
          <w:bCs/>
          <w:sz w:val="24"/>
          <w:szCs w:val="24"/>
        </w:rPr>
        <w:tab/>
      </w:r>
      <w:r w:rsidRPr="00B977CB">
        <w:rPr>
          <w:bCs/>
          <w:sz w:val="24"/>
          <w:szCs w:val="24"/>
        </w:rPr>
        <w:tab/>
      </w:r>
      <w:r w:rsidR="00555270">
        <w:rPr>
          <w:bCs/>
          <w:sz w:val="24"/>
          <w:szCs w:val="24"/>
        </w:rPr>
        <w:tab/>
      </w:r>
      <w:r w:rsidR="00555270">
        <w:rPr>
          <w:bCs/>
          <w:sz w:val="24"/>
          <w:szCs w:val="24"/>
        </w:rPr>
        <w:tab/>
      </w:r>
      <w:r w:rsidRPr="00B977CB">
        <w:rPr>
          <w:bCs/>
          <w:sz w:val="24"/>
          <w:szCs w:val="24"/>
        </w:rPr>
        <w:t>2017. gada</w:t>
      </w:r>
      <w:r w:rsidR="00555270">
        <w:rPr>
          <w:bCs/>
          <w:sz w:val="24"/>
          <w:szCs w:val="24"/>
        </w:rPr>
        <w:t xml:space="preserve"> </w:t>
      </w:r>
      <w:r w:rsidR="00EA4E23">
        <w:rPr>
          <w:bCs/>
          <w:sz w:val="24"/>
          <w:szCs w:val="24"/>
        </w:rPr>
        <w:t>26</w:t>
      </w:r>
      <w:r w:rsidR="00555270">
        <w:rPr>
          <w:bCs/>
          <w:sz w:val="24"/>
          <w:szCs w:val="24"/>
        </w:rPr>
        <w:t>.maijā</w:t>
      </w:r>
    </w:p>
    <w:p w:rsidR="00C73F6F" w:rsidRPr="00B977CB" w:rsidRDefault="00C73F6F" w:rsidP="00C73F6F">
      <w:pPr>
        <w:jc w:val="center"/>
        <w:rPr>
          <w:b/>
          <w:color w:val="000000"/>
          <w:sz w:val="28"/>
          <w:szCs w:val="28"/>
        </w:rPr>
      </w:pPr>
    </w:p>
    <w:p w:rsidR="00C73F6F" w:rsidRPr="00B977CB" w:rsidRDefault="00C73F6F" w:rsidP="00C73F6F">
      <w:pPr>
        <w:ind w:firstLine="360"/>
        <w:jc w:val="both"/>
      </w:pPr>
      <w:r w:rsidRPr="00B977CB">
        <w:rPr>
          <w:b/>
        </w:rPr>
        <w:t>Jelgavas pilsētas dome</w:t>
      </w:r>
      <w:r w:rsidRPr="00B977CB">
        <w:rPr>
          <w:b/>
          <w:bCs/>
        </w:rPr>
        <w:t>,</w:t>
      </w:r>
      <w:r w:rsidRPr="00B977CB">
        <w:rPr>
          <w:bCs/>
        </w:rPr>
        <w:t xml:space="preserve"> reģistrācijas Nr. 90000042516</w:t>
      </w:r>
      <w:r w:rsidRPr="00B977CB">
        <w:t>, juridiskā adrese: Lielā iela 11, Jelgava, LV-3001, p</w:t>
      </w:r>
      <w:r>
        <w:t xml:space="preserve">ašvaldības izpilddirektores </w:t>
      </w:r>
      <w:r w:rsidRPr="00B977CB">
        <w:t xml:space="preserve"> </w:t>
      </w:r>
      <w:r>
        <w:t xml:space="preserve">Irēnas </w:t>
      </w:r>
      <w:proofErr w:type="spellStart"/>
      <w:r>
        <w:t>Škutānes</w:t>
      </w:r>
      <w:proofErr w:type="spellEnd"/>
      <w:r>
        <w:t xml:space="preserve"> personā, kura</w:t>
      </w:r>
      <w:r w:rsidRPr="00B977CB">
        <w:t xml:space="preserve"> rīkojas saskaņā ar Jelgavas pilsētas pašvaldības nolikumu (turpmāk – Pasūtītājs), no vienas puses, un </w:t>
      </w:r>
    </w:p>
    <w:p w:rsidR="00C73F6F" w:rsidRPr="00B977CB" w:rsidRDefault="00C73F6F" w:rsidP="00C73F6F">
      <w:pPr>
        <w:jc w:val="both"/>
        <w:rPr>
          <w:b/>
        </w:rPr>
      </w:pPr>
      <w:r w:rsidRPr="00850786">
        <w:rPr>
          <w:b/>
        </w:rPr>
        <w:t>SIA “BM-projekts”</w:t>
      </w:r>
      <w:r w:rsidRPr="00850786">
        <w:rPr>
          <w:i/>
        </w:rPr>
        <w:t xml:space="preserve">, </w:t>
      </w:r>
      <w:r w:rsidRPr="00850786">
        <w:t>reģistrācijas Nr.40103196966</w:t>
      </w:r>
      <w:r w:rsidRPr="00850786">
        <w:rPr>
          <w:i/>
        </w:rPr>
        <w:t xml:space="preserve">, </w:t>
      </w:r>
      <w:r w:rsidRPr="00850786">
        <w:t>juridiskā adrese:</w:t>
      </w:r>
      <w:r w:rsidRPr="00850786">
        <w:rPr>
          <w:color w:val="000000"/>
        </w:rPr>
        <w:t xml:space="preserve"> </w:t>
      </w:r>
      <w:r w:rsidRPr="00850786">
        <w:t xml:space="preserve">Pārslas iela 3b, Rīga, LV-1002, </w:t>
      </w:r>
      <w:r w:rsidR="002E2E7D">
        <w:t xml:space="preserve">valdes locekļa </w:t>
      </w:r>
      <w:r w:rsidR="0046083C" w:rsidRPr="00850786">
        <w:t xml:space="preserve">Mārtiņa </w:t>
      </w:r>
      <w:proofErr w:type="spellStart"/>
      <w:r w:rsidR="0046083C" w:rsidRPr="00850786">
        <w:t>Blumentāla</w:t>
      </w:r>
      <w:proofErr w:type="spellEnd"/>
      <w:r w:rsidR="0046083C" w:rsidRPr="00850786">
        <w:t xml:space="preserve"> personā, kurš</w:t>
      </w:r>
      <w:r w:rsidRPr="00850786">
        <w:t xml:space="preserve"> rīkojas uz uzņēmuma statūtu pamata</w:t>
      </w:r>
      <w:r w:rsidRPr="00B977CB">
        <w:t xml:space="preserve"> (turpmāk – Izpildītājs) no otras puses, katra atsevišķi un abas kopā turpmāk - Puses, saskaņā ar Iepirkuma ‘’Būvprojekta ’’Sporta stadiona pārbūve Pulkveža Oskara Kalpaka ielā 34A’’  izstrāde un būvdarbu autoruzraudzība’’, identifikācijas Nr.JPD2017/</w:t>
      </w:r>
      <w:r w:rsidRPr="00C73F6F">
        <w:t>33/MI</w:t>
      </w:r>
      <w:r w:rsidRPr="00B977CB">
        <w:t xml:space="preserve"> (turpmāk – Iepirkums) rezultātiem, noslēdz šādu līgumu (turpmāk – Līgums):</w:t>
      </w:r>
    </w:p>
    <w:p w:rsidR="00C73F6F" w:rsidRPr="00B977CB" w:rsidRDefault="00C73F6F" w:rsidP="00C73F6F">
      <w:pPr>
        <w:ind w:firstLine="720"/>
        <w:jc w:val="both"/>
      </w:pPr>
    </w:p>
    <w:p w:rsidR="00C73F6F" w:rsidRPr="00B977CB" w:rsidRDefault="00C73F6F" w:rsidP="00C73F6F">
      <w:pPr>
        <w:widowControl w:val="0"/>
        <w:numPr>
          <w:ilvl w:val="0"/>
          <w:numId w:val="2"/>
        </w:numPr>
        <w:ind w:left="426" w:hanging="426"/>
        <w:contextualSpacing/>
        <w:jc w:val="both"/>
        <w:outlineLvl w:val="1"/>
        <w:rPr>
          <w:rFonts w:eastAsia="Arial Unicode MS"/>
          <w:b/>
          <w:bCs/>
        </w:rPr>
      </w:pPr>
      <w:bookmarkStart w:id="0" w:name="_Toc154971714"/>
      <w:bookmarkStart w:id="1" w:name="_Toc164646940"/>
      <w:bookmarkStart w:id="2" w:name="_Toc251922211"/>
      <w:bookmarkStart w:id="3" w:name="_Toc251923486"/>
      <w:bookmarkStart w:id="4" w:name="_Toc251928427"/>
      <w:bookmarkStart w:id="5" w:name="_Toc252192306"/>
      <w:bookmarkStart w:id="6" w:name="_Toc252867884"/>
      <w:r w:rsidRPr="00B977CB">
        <w:rPr>
          <w:rFonts w:eastAsia="Arial Unicode MS"/>
          <w:b/>
        </w:rPr>
        <w:t>Līguma priekšmets</w:t>
      </w:r>
      <w:bookmarkEnd w:id="0"/>
      <w:bookmarkEnd w:id="1"/>
      <w:bookmarkEnd w:id="2"/>
      <w:bookmarkEnd w:id="3"/>
      <w:bookmarkEnd w:id="4"/>
      <w:bookmarkEnd w:id="5"/>
      <w:bookmarkEnd w:id="6"/>
    </w:p>
    <w:p w:rsidR="00C73F6F" w:rsidRPr="00B977CB" w:rsidRDefault="00C73F6F" w:rsidP="00C73F6F">
      <w:pPr>
        <w:widowControl w:val="0"/>
        <w:numPr>
          <w:ilvl w:val="1"/>
          <w:numId w:val="1"/>
        </w:numPr>
        <w:jc w:val="both"/>
        <w:outlineLvl w:val="1"/>
      </w:pPr>
      <w:r w:rsidRPr="00B977CB">
        <w:rPr>
          <w:bCs/>
        </w:rPr>
        <w:t xml:space="preserve">Pasūtītājs </w:t>
      </w:r>
      <w:proofErr w:type="spellStart"/>
      <w:r w:rsidRPr="00B977CB">
        <w:rPr>
          <w:bCs/>
        </w:rPr>
        <w:t>pasūta</w:t>
      </w:r>
      <w:proofErr w:type="spellEnd"/>
      <w:r w:rsidRPr="00B977CB">
        <w:rPr>
          <w:bCs/>
        </w:rPr>
        <w:t xml:space="preserve"> un Izpildītājs apņemas izstrādāt būvprojektu ’’Sporta stadiona pārbūve</w:t>
      </w:r>
      <w:r w:rsidRPr="00B977CB">
        <w:t xml:space="preserve"> </w:t>
      </w:r>
      <w:r w:rsidRPr="00B977CB">
        <w:rPr>
          <w:bCs/>
        </w:rPr>
        <w:t>Pulkveža Oskara Kalpaka ielā 34A’’ (turpmāk – Pakalpojums), saskaņā ar Tehnisko specifikāciju (Līguma 1.pielikums), Izpildītāja iesniegto piedāvājumu Iepirkumam (Līguma 2.pielikums), Līgumu un Latvijas Republikas normatīvajiem aktiem.</w:t>
      </w:r>
    </w:p>
    <w:p w:rsidR="00C73F6F" w:rsidRPr="00B977CB" w:rsidRDefault="00C73F6F" w:rsidP="00C73F6F">
      <w:pPr>
        <w:widowControl w:val="0"/>
        <w:ind w:left="426"/>
        <w:jc w:val="both"/>
        <w:outlineLvl w:val="1"/>
      </w:pPr>
    </w:p>
    <w:p w:rsidR="00C73F6F" w:rsidRPr="00B977CB" w:rsidRDefault="00C73F6F" w:rsidP="00C73F6F">
      <w:pPr>
        <w:widowControl w:val="0"/>
        <w:numPr>
          <w:ilvl w:val="0"/>
          <w:numId w:val="1"/>
        </w:numPr>
        <w:jc w:val="both"/>
        <w:outlineLvl w:val="1"/>
      </w:pPr>
      <w:bookmarkStart w:id="7" w:name="_Toc58054005"/>
      <w:bookmarkStart w:id="8" w:name="_Toc85449947"/>
      <w:bookmarkStart w:id="9" w:name="_Toc154971715"/>
      <w:bookmarkStart w:id="10" w:name="_Toc164646941"/>
      <w:bookmarkStart w:id="11" w:name="_Toc251922212"/>
      <w:bookmarkStart w:id="12" w:name="_Toc251923487"/>
      <w:bookmarkStart w:id="13" w:name="_Toc251928428"/>
      <w:bookmarkStart w:id="14" w:name="_Toc252192307"/>
      <w:bookmarkStart w:id="15" w:name="_Toc252867885"/>
      <w:r w:rsidRPr="00B977CB">
        <w:rPr>
          <w:b/>
        </w:rPr>
        <w:t>Līgumcena</w:t>
      </w:r>
      <w:bookmarkEnd w:id="7"/>
      <w:bookmarkEnd w:id="8"/>
      <w:bookmarkEnd w:id="9"/>
      <w:bookmarkEnd w:id="10"/>
      <w:bookmarkEnd w:id="11"/>
      <w:bookmarkEnd w:id="12"/>
      <w:bookmarkEnd w:id="13"/>
      <w:bookmarkEnd w:id="14"/>
      <w:bookmarkEnd w:id="15"/>
      <w:r w:rsidRPr="00B977CB">
        <w:rPr>
          <w:b/>
        </w:rPr>
        <w:t xml:space="preserve"> </w:t>
      </w:r>
    </w:p>
    <w:p w:rsidR="00C73F6F" w:rsidRPr="00B977CB" w:rsidRDefault="00C73F6F" w:rsidP="00C73F6F">
      <w:pPr>
        <w:widowControl w:val="0"/>
        <w:numPr>
          <w:ilvl w:val="1"/>
          <w:numId w:val="1"/>
        </w:numPr>
        <w:ind w:left="426" w:hanging="426"/>
        <w:jc w:val="both"/>
        <w:outlineLvl w:val="1"/>
      </w:pPr>
      <w:r w:rsidRPr="00B977CB">
        <w:t xml:space="preserve">Par pakalpojuma veikšanu Pasūtītājs samaksā Izpildītājam </w:t>
      </w:r>
      <w:r w:rsidR="00FA122B" w:rsidRPr="00FA122B">
        <w:rPr>
          <w:b/>
        </w:rPr>
        <w:t>29 300,00</w:t>
      </w:r>
      <w:r w:rsidRPr="00B977CB">
        <w:rPr>
          <w:i/>
        </w:rPr>
        <w:t xml:space="preserve"> </w:t>
      </w:r>
      <w:proofErr w:type="spellStart"/>
      <w:r w:rsidRPr="00B977CB">
        <w:rPr>
          <w:i/>
        </w:rPr>
        <w:t>euro</w:t>
      </w:r>
      <w:proofErr w:type="spellEnd"/>
      <w:r w:rsidRPr="00B977CB">
        <w:rPr>
          <w:b/>
        </w:rPr>
        <w:t xml:space="preserve"> </w:t>
      </w:r>
      <w:r w:rsidRPr="00B977CB">
        <w:t>(</w:t>
      </w:r>
      <w:r w:rsidR="00FA122B">
        <w:t xml:space="preserve">divdesmit deviņi tūkstoši trīs simti </w:t>
      </w:r>
      <w:proofErr w:type="spellStart"/>
      <w:r w:rsidRPr="00B977CB">
        <w:rPr>
          <w:i/>
        </w:rPr>
        <w:t>euro</w:t>
      </w:r>
      <w:proofErr w:type="spellEnd"/>
      <w:r w:rsidRPr="00B977CB">
        <w:rPr>
          <w:i/>
        </w:rPr>
        <w:t xml:space="preserve">, </w:t>
      </w:r>
      <w:r w:rsidR="00FA122B">
        <w:t>00</w:t>
      </w:r>
      <w:r w:rsidRPr="00B977CB">
        <w:t xml:space="preserve"> </w:t>
      </w:r>
      <w:r w:rsidRPr="00B977CB">
        <w:rPr>
          <w:i/>
        </w:rPr>
        <w:t>centi</w:t>
      </w:r>
      <w:r w:rsidRPr="00B977CB">
        <w:t xml:space="preserve">) un pievienotās vērtības nodokli 21% (divdesmit viens procents) </w:t>
      </w:r>
      <w:r w:rsidR="00FA122B" w:rsidRPr="00FA122B">
        <w:rPr>
          <w:b/>
        </w:rPr>
        <w:t>6</w:t>
      </w:r>
      <w:r w:rsidR="00FA122B">
        <w:rPr>
          <w:b/>
        </w:rPr>
        <w:t xml:space="preserve"> </w:t>
      </w:r>
      <w:r w:rsidR="00FA122B" w:rsidRPr="00FA122B">
        <w:rPr>
          <w:b/>
        </w:rPr>
        <w:t>153.00</w:t>
      </w:r>
      <w:r w:rsidRPr="00B977CB">
        <w:t xml:space="preserve"> </w:t>
      </w:r>
      <w:proofErr w:type="spellStart"/>
      <w:r w:rsidRPr="00B977CB">
        <w:rPr>
          <w:i/>
        </w:rPr>
        <w:t>euro</w:t>
      </w:r>
      <w:proofErr w:type="spellEnd"/>
      <w:r w:rsidRPr="00B977CB">
        <w:t xml:space="preserve"> (</w:t>
      </w:r>
      <w:r w:rsidR="00FA122B">
        <w:t xml:space="preserve">seši tūkstoši viens simts piecdesmit trīs </w:t>
      </w:r>
      <w:proofErr w:type="spellStart"/>
      <w:r w:rsidRPr="00B977CB">
        <w:rPr>
          <w:i/>
        </w:rPr>
        <w:t>euro</w:t>
      </w:r>
      <w:proofErr w:type="spellEnd"/>
      <w:r w:rsidRPr="00B977CB">
        <w:t xml:space="preserve">, </w:t>
      </w:r>
      <w:r w:rsidR="00FA122B">
        <w:t>00</w:t>
      </w:r>
      <w:r w:rsidRPr="00B977CB">
        <w:t xml:space="preserve"> </w:t>
      </w:r>
      <w:r w:rsidRPr="00B977CB">
        <w:rPr>
          <w:i/>
        </w:rPr>
        <w:t>centi</w:t>
      </w:r>
      <w:r w:rsidRPr="00B977CB">
        <w:t xml:space="preserve">), kas kopā ir </w:t>
      </w:r>
      <w:r w:rsidR="00FA122B" w:rsidRPr="00FA122B">
        <w:rPr>
          <w:b/>
        </w:rPr>
        <w:t>35</w:t>
      </w:r>
      <w:r w:rsidR="00FA122B">
        <w:rPr>
          <w:b/>
        </w:rPr>
        <w:t xml:space="preserve"> </w:t>
      </w:r>
      <w:r w:rsidR="00FA122B" w:rsidRPr="00FA122B">
        <w:rPr>
          <w:b/>
        </w:rPr>
        <w:t>453.00</w:t>
      </w:r>
      <w:r w:rsidRPr="00B977CB">
        <w:t xml:space="preserve"> </w:t>
      </w:r>
      <w:proofErr w:type="spellStart"/>
      <w:r w:rsidRPr="00B977CB">
        <w:rPr>
          <w:i/>
        </w:rPr>
        <w:t>euro</w:t>
      </w:r>
      <w:proofErr w:type="spellEnd"/>
      <w:r w:rsidRPr="00B977CB">
        <w:t xml:space="preserve"> (</w:t>
      </w:r>
      <w:r w:rsidR="00FA122B">
        <w:t>trīsdesmit pieci tūkstoši četri simti piecdesmit trīs</w:t>
      </w:r>
      <w:r w:rsidRPr="00B977CB">
        <w:t xml:space="preserve"> </w:t>
      </w:r>
      <w:proofErr w:type="spellStart"/>
      <w:r w:rsidRPr="00B977CB">
        <w:rPr>
          <w:i/>
        </w:rPr>
        <w:t>euro</w:t>
      </w:r>
      <w:proofErr w:type="spellEnd"/>
      <w:r w:rsidRPr="00B977CB">
        <w:t xml:space="preserve">, </w:t>
      </w:r>
      <w:r w:rsidR="00FA122B">
        <w:t>00</w:t>
      </w:r>
      <w:r w:rsidRPr="00B977CB">
        <w:t xml:space="preserve"> </w:t>
      </w:r>
      <w:r w:rsidRPr="00B977CB">
        <w:rPr>
          <w:i/>
        </w:rPr>
        <w:t>centi</w:t>
      </w:r>
      <w:r w:rsidRPr="00B977CB">
        <w:t>) (turpmāk – Līgumcena).</w:t>
      </w:r>
    </w:p>
    <w:p w:rsidR="00C73F6F" w:rsidRPr="00B977CB" w:rsidRDefault="00C73F6F" w:rsidP="00C73F6F">
      <w:pPr>
        <w:widowControl w:val="0"/>
        <w:ind w:left="426"/>
        <w:jc w:val="both"/>
        <w:outlineLvl w:val="1"/>
      </w:pPr>
    </w:p>
    <w:p w:rsidR="00C73F6F" w:rsidRPr="00B977CB" w:rsidRDefault="00C73F6F" w:rsidP="00C73F6F">
      <w:pPr>
        <w:widowControl w:val="0"/>
        <w:numPr>
          <w:ilvl w:val="0"/>
          <w:numId w:val="1"/>
        </w:numPr>
        <w:jc w:val="both"/>
        <w:outlineLvl w:val="1"/>
      </w:pPr>
      <w:r w:rsidRPr="00B977CB">
        <w:t xml:space="preserve"> </w:t>
      </w:r>
      <w:bookmarkStart w:id="16" w:name="_Toc154971716"/>
      <w:bookmarkStart w:id="17" w:name="_Toc164646942"/>
      <w:bookmarkStart w:id="18" w:name="_Toc251922213"/>
      <w:bookmarkStart w:id="19" w:name="_Toc251923488"/>
      <w:bookmarkStart w:id="20" w:name="_Toc251928429"/>
      <w:bookmarkStart w:id="21" w:name="_Toc252192308"/>
      <w:bookmarkStart w:id="22" w:name="_Toc252867886"/>
      <w:r w:rsidRPr="00B977CB">
        <w:rPr>
          <w:b/>
        </w:rPr>
        <w:t>Maksāšanas kārtība</w:t>
      </w:r>
      <w:bookmarkEnd w:id="16"/>
      <w:bookmarkEnd w:id="17"/>
      <w:bookmarkEnd w:id="18"/>
      <w:bookmarkEnd w:id="19"/>
      <w:bookmarkEnd w:id="20"/>
      <w:bookmarkEnd w:id="21"/>
      <w:bookmarkEnd w:id="22"/>
    </w:p>
    <w:p w:rsidR="00C73F6F" w:rsidRPr="00B977CB" w:rsidRDefault="00C73F6F" w:rsidP="00C73F6F">
      <w:pPr>
        <w:numPr>
          <w:ilvl w:val="1"/>
          <w:numId w:val="1"/>
        </w:numPr>
        <w:ind w:left="426" w:hanging="426"/>
        <w:jc w:val="both"/>
      </w:pPr>
      <w:bookmarkStart w:id="23" w:name="_Toc99858913"/>
      <w:bookmarkStart w:id="24" w:name="_Toc154971717"/>
      <w:bookmarkStart w:id="25" w:name="_Toc164646943"/>
      <w:bookmarkStart w:id="26" w:name="_Toc251922214"/>
      <w:bookmarkStart w:id="27" w:name="_Toc251923489"/>
      <w:bookmarkStart w:id="28" w:name="_Toc251928430"/>
      <w:bookmarkStart w:id="29" w:name="_Toc252192309"/>
      <w:bookmarkStart w:id="30" w:name="_Toc252867887"/>
      <w:bookmarkStart w:id="31" w:name="_Toc23233711"/>
      <w:r w:rsidRPr="00B977CB">
        <w:t xml:space="preserve">Visi maksājumi tiek veikti ar pārskaitījumu </w:t>
      </w:r>
      <w:r w:rsidRPr="00B977CB">
        <w:rPr>
          <w:bCs/>
        </w:rPr>
        <w:t xml:space="preserve">uz Izpildītāja norādīto norēķinu kontu 10 (desmit) darba dienu laikā pēc Pakalpojuma pieņemšanas un nodošanas </w:t>
      </w:r>
      <w:smartTag w:uri="schemas-tilde-lv/tildestengine" w:element="veidnes">
        <w:smartTagPr>
          <w:attr w:name="text" w:val="akta"/>
          <w:attr w:name="id" w:val="-1"/>
          <w:attr w:name="baseform" w:val="akt|s"/>
        </w:smartTagPr>
        <w:r w:rsidRPr="00B977CB">
          <w:rPr>
            <w:bCs/>
          </w:rPr>
          <w:t>akta</w:t>
        </w:r>
      </w:smartTag>
      <w:r w:rsidRPr="00B977CB">
        <w:rPr>
          <w:bCs/>
        </w:rPr>
        <w:t xml:space="preserve"> parakstīšanas un Izpildītāja rēķina saņemšanas dienas</w:t>
      </w:r>
      <w:r w:rsidRPr="00B977CB">
        <w:t>.</w:t>
      </w:r>
    </w:p>
    <w:p w:rsidR="00C73F6F" w:rsidRPr="00B977CB" w:rsidRDefault="00C73F6F" w:rsidP="00C73F6F">
      <w:pPr>
        <w:numPr>
          <w:ilvl w:val="1"/>
          <w:numId w:val="1"/>
        </w:numPr>
        <w:ind w:left="426" w:hanging="426"/>
        <w:jc w:val="both"/>
      </w:pPr>
      <w:r w:rsidRPr="00B977CB">
        <w:t xml:space="preserve">Samaksu par </w:t>
      </w:r>
      <w:r w:rsidRPr="00B977CB">
        <w:rPr>
          <w:bCs/>
        </w:rPr>
        <w:t xml:space="preserve">Pakalpojumu Pasūtītājs veic šādā </w:t>
      </w:r>
      <w:r w:rsidRPr="00B977CB">
        <w:t>kārtībā:</w:t>
      </w:r>
    </w:p>
    <w:p w:rsidR="00C73F6F" w:rsidRPr="00B977CB" w:rsidRDefault="00C73F6F" w:rsidP="00C73F6F">
      <w:pPr>
        <w:numPr>
          <w:ilvl w:val="2"/>
          <w:numId w:val="1"/>
        </w:numPr>
        <w:ind w:left="993" w:hanging="567"/>
        <w:jc w:val="both"/>
      </w:pPr>
      <w:r w:rsidRPr="00B977CB">
        <w:t>maksājumu 30% (trīsdesmit procenti) apmērā no Līgumcenas pēc Būvprojekta minimālā sastāvā saskaņošanas no Pasūtītāja puses un Pakalpojuma pieņemšanas – nodošanas akta parakstīšanas;</w:t>
      </w:r>
    </w:p>
    <w:p w:rsidR="00C73F6F" w:rsidRPr="00B977CB" w:rsidRDefault="00C73F6F" w:rsidP="00C73F6F">
      <w:pPr>
        <w:numPr>
          <w:ilvl w:val="2"/>
          <w:numId w:val="1"/>
        </w:numPr>
        <w:ind w:left="993" w:hanging="567"/>
        <w:jc w:val="both"/>
      </w:pPr>
      <w:r w:rsidRPr="00B977CB">
        <w:t>atlikušo maksājumu 70% (septiņdesmit procenti) apmērā no Līgumcenas pēc visu nodevumu iesniegšanas Pasūtītājam, saskaņā ar Tehnisko specifikāciju (</w:t>
      </w:r>
      <w:r w:rsidRPr="00B977CB">
        <w:rPr>
          <w:bCs/>
        </w:rPr>
        <w:t>Līguma 1.pielikums</w:t>
      </w:r>
      <w:r w:rsidRPr="00B977CB">
        <w:t xml:space="preserve">), un Pakalpojuma pieņemšanas – nodošanas akta parakstīšanas. </w:t>
      </w:r>
    </w:p>
    <w:p w:rsidR="00C73F6F" w:rsidRPr="00B977CB" w:rsidRDefault="00C73F6F" w:rsidP="00C73F6F">
      <w:pPr>
        <w:numPr>
          <w:ilvl w:val="1"/>
          <w:numId w:val="1"/>
        </w:numPr>
        <w:tabs>
          <w:tab w:val="left" w:pos="851"/>
        </w:tabs>
        <w:ind w:left="426" w:hanging="426"/>
        <w:jc w:val="both"/>
      </w:pPr>
      <w:r w:rsidRPr="00B977CB">
        <w:t>Rēķinos jānorāda šādi maksātāja rekvizīti:</w:t>
      </w:r>
    </w:p>
    <w:tbl>
      <w:tblPr>
        <w:tblW w:w="8363" w:type="dxa"/>
        <w:tblInd w:w="392" w:type="dxa"/>
        <w:tblLayout w:type="fixed"/>
        <w:tblLook w:val="0000" w:firstRow="0" w:lastRow="0" w:firstColumn="0" w:lastColumn="0" w:noHBand="0" w:noVBand="0"/>
      </w:tblPr>
      <w:tblGrid>
        <w:gridCol w:w="2126"/>
        <w:gridCol w:w="6237"/>
      </w:tblGrid>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rPr>
                <w:b/>
              </w:rPr>
            </w:pPr>
            <w:r w:rsidRPr="00B977CB">
              <w:rPr>
                <w:b/>
              </w:rPr>
              <w:t>Maksātājs</w:t>
            </w:r>
          </w:p>
        </w:tc>
        <w:tc>
          <w:tcPr>
            <w:tcW w:w="6237"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rPr>
                <w:b/>
              </w:rPr>
            </w:pPr>
            <w:r w:rsidRPr="00B977CB">
              <w:rPr>
                <w:b/>
              </w:rPr>
              <w:t>Jelgavas pilsētas dome</w:t>
            </w:r>
          </w:p>
        </w:tc>
      </w:tr>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pPr>
            <w:r w:rsidRPr="00B977CB">
              <w:t>Reģistrācijas Nr.</w:t>
            </w:r>
          </w:p>
        </w:tc>
        <w:tc>
          <w:tcPr>
            <w:tcW w:w="6237" w:type="dxa"/>
            <w:tcBorders>
              <w:top w:val="single" w:sz="4" w:space="0" w:color="auto"/>
              <w:left w:val="single" w:sz="4" w:space="0" w:color="auto"/>
              <w:bottom w:val="single" w:sz="4" w:space="0" w:color="auto"/>
              <w:right w:val="single" w:sz="4" w:space="0" w:color="auto"/>
            </w:tcBorders>
            <w:vAlign w:val="center"/>
          </w:tcPr>
          <w:p w:rsidR="00C73F6F" w:rsidRPr="00B977CB" w:rsidRDefault="00C73F6F" w:rsidP="0047171B">
            <w:r w:rsidRPr="00B977CB">
              <w:t>90000042516</w:t>
            </w:r>
          </w:p>
        </w:tc>
      </w:tr>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pPr>
            <w:r w:rsidRPr="00B977CB">
              <w:t>Adrese</w:t>
            </w:r>
          </w:p>
        </w:tc>
        <w:tc>
          <w:tcPr>
            <w:tcW w:w="6237" w:type="dxa"/>
            <w:tcBorders>
              <w:top w:val="single" w:sz="4" w:space="0" w:color="auto"/>
              <w:left w:val="single" w:sz="4" w:space="0" w:color="auto"/>
              <w:bottom w:val="single" w:sz="4" w:space="0" w:color="auto"/>
              <w:right w:val="single" w:sz="4" w:space="0" w:color="auto"/>
            </w:tcBorders>
            <w:vAlign w:val="center"/>
          </w:tcPr>
          <w:p w:rsidR="00C73F6F" w:rsidRPr="00B977CB" w:rsidRDefault="00C73F6F" w:rsidP="0047171B">
            <w:r w:rsidRPr="00B977CB">
              <w:t>Lielā iela 11, Jelgava, LV-3001</w:t>
            </w:r>
          </w:p>
        </w:tc>
      </w:tr>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pPr>
            <w:r w:rsidRPr="00B977CB">
              <w:t>Bankas nosaukums</w:t>
            </w:r>
          </w:p>
        </w:tc>
        <w:tc>
          <w:tcPr>
            <w:tcW w:w="6237" w:type="dxa"/>
            <w:tcBorders>
              <w:top w:val="single" w:sz="4" w:space="0" w:color="auto"/>
              <w:left w:val="single" w:sz="4" w:space="0" w:color="auto"/>
              <w:bottom w:val="single" w:sz="4" w:space="0" w:color="auto"/>
              <w:right w:val="single" w:sz="4" w:space="0" w:color="auto"/>
            </w:tcBorders>
            <w:vAlign w:val="center"/>
          </w:tcPr>
          <w:p w:rsidR="00C73F6F" w:rsidRPr="00B977CB" w:rsidRDefault="00C73F6F" w:rsidP="0047171B">
            <w:r w:rsidRPr="00B977CB">
              <w:t>AS SEB Banka</w:t>
            </w:r>
          </w:p>
        </w:tc>
      </w:tr>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pPr>
            <w:r w:rsidRPr="00B977CB">
              <w:t>Bankas kods</w:t>
            </w:r>
          </w:p>
        </w:tc>
        <w:tc>
          <w:tcPr>
            <w:tcW w:w="6237" w:type="dxa"/>
            <w:tcBorders>
              <w:top w:val="single" w:sz="4" w:space="0" w:color="auto"/>
              <w:left w:val="single" w:sz="4" w:space="0" w:color="auto"/>
              <w:bottom w:val="single" w:sz="4" w:space="0" w:color="auto"/>
              <w:right w:val="single" w:sz="4" w:space="0" w:color="auto"/>
            </w:tcBorders>
            <w:vAlign w:val="center"/>
          </w:tcPr>
          <w:p w:rsidR="00C73F6F" w:rsidRPr="00B977CB" w:rsidRDefault="00C73F6F" w:rsidP="0047171B">
            <w:r w:rsidRPr="00B977CB">
              <w:t>UNLALV2X</w:t>
            </w:r>
          </w:p>
        </w:tc>
      </w:tr>
      <w:tr w:rsidR="00C73F6F" w:rsidRPr="00B977CB" w:rsidTr="0047171B">
        <w:tc>
          <w:tcPr>
            <w:tcW w:w="2126" w:type="dxa"/>
            <w:tcBorders>
              <w:top w:val="single" w:sz="4" w:space="0" w:color="auto"/>
              <w:left w:val="single" w:sz="4" w:space="0" w:color="auto"/>
              <w:bottom w:val="single" w:sz="4" w:space="0" w:color="auto"/>
              <w:right w:val="single" w:sz="4" w:space="0" w:color="auto"/>
            </w:tcBorders>
          </w:tcPr>
          <w:p w:rsidR="00C73F6F" w:rsidRPr="00B977CB" w:rsidRDefault="00C73F6F" w:rsidP="0047171B">
            <w:pPr>
              <w:jc w:val="both"/>
            </w:pPr>
            <w:r w:rsidRPr="00B977CB">
              <w:t>Bankas konta Nr.</w:t>
            </w:r>
          </w:p>
        </w:tc>
        <w:tc>
          <w:tcPr>
            <w:tcW w:w="6237" w:type="dxa"/>
            <w:tcBorders>
              <w:top w:val="single" w:sz="4" w:space="0" w:color="auto"/>
              <w:left w:val="single" w:sz="4" w:space="0" w:color="auto"/>
              <w:bottom w:val="single" w:sz="4" w:space="0" w:color="auto"/>
              <w:right w:val="single" w:sz="4" w:space="0" w:color="auto"/>
            </w:tcBorders>
            <w:vAlign w:val="center"/>
          </w:tcPr>
          <w:p w:rsidR="00C73F6F" w:rsidRPr="00B977CB" w:rsidRDefault="00C73F6F" w:rsidP="0047171B">
            <w:r w:rsidRPr="00B977CB">
              <w:t>LV 44 UNLA 0008 0101 30906</w:t>
            </w:r>
          </w:p>
        </w:tc>
      </w:tr>
    </w:tbl>
    <w:p w:rsidR="00C73F6F" w:rsidRPr="00B977CB" w:rsidRDefault="00C73F6F" w:rsidP="00C73F6F">
      <w:pPr>
        <w:tabs>
          <w:tab w:val="left" w:pos="851"/>
        </w:tabs>
        <w:ind w:left="360"/>
        <w:jc w:val="both"/>
      </w:pPr>
    </w:p>
    <w:p w:rsidR="00C73F6F" w:rsidRPr="00B977CB" w:rsidRDefault="00C73F6F" w:rsidP="00C73F6F">
      <w:pPr>
        <w:numPr>
          <w:ilvl w:val="0"/>
          <w:numId w:val="1"/>
        </w:numPr>
        <w:tabs>
          <w:tab w:val="left" w:pos="851"/>
        </w:tabs>
        <w:jc w:val="both"/>
      </w:pPr>
      <w:r w:rsidRPr="00B977CB">
        <w:rPr>
          <w:b/>
        </w:rPr>
        <w:t>Termiņi</w:t>
      </w:r>
      <w:bookmarkEnd w:id="23"/>
      <w:bookmarkEnd w:id="24"/>
      <w:bookmarkEnd w:id="25"/>
      <w:bookmarkEnd w:id="26"/>
      <w:bookmarkEnd w:id="27"/>
      <w:bookmarkEnd w:id="28"/>
      <w:bookmarkEnd w:id="29"/>
      <w:bookmarkEnd w:id="30"/>
      <w:r w:rsidRPr="00B977CB">
        <w:rPr>
          <w:b/>
        </w:rPr>
        <w:t xml:space="preserve"> </w:t>
      </w:r>
    </w:p>
    <w:p w:rsidR="00C73F6F" w:rsidRPr="00B977CB" w:rsidRDefault="00C73F6F" w:rsidP="00C73F6F">
      <w:pPr>
        <w:numPr>
          <w:ilvl w:val="1"/>
          <w:numId w:val="1"/>
        </w:numPr>
        <w:ind w:left="426" w:hanging="426"/>
        <w:jc w:val="both"/>
      </w:pPr>
      <w:smartTag w:uri="schemas-tilde-lv/tildestengine" w:element="veidnes">
        <w:smartTagPr>
          <w:attr w:name="id" w:val="-1"/>
          <w:attr w:name="baseform" w:val="līgums"/>
          <w:attr w:name="text" w:val="līgums"/>
        </w:smartTagPr>
        <w:r w:rsidRPr="00B977CB">
          <w:t>Līgums</w:t>
        </w:r>
      </w:smartTag>
      <w:r w:rsidRPr="00B977CB">
        <w:t xml:space="preserve"> stājas spēkā dienā, kad to parakstījušas abas Puses un ir spēkā līdz Pušu savstarpējo saistību pilnīgai izpildei.</w:t>
      </w:r>
    </w:p>
    <w:p w:rsidR="00C73F6F" w:rsidRPr="00B977CB" w:rsidRDefault="00C73F6F" w:rsidP="00C73F6F">
      <w:pPr>
        <w:numPr>
          <w:ilvl w:val="1"/>
          <w:numId w:val="1"/>
        </w:numPr>
        <w:ind w:left="426" w:hanging="426"/>
        <w:jc w:val="both"/>
      </w:pPr>
      <w:r w:rsidRPr="00B977CB">
        <w:lastRenderedPageBreak/>
        <w:t xml:space="preserve">Izpildītājs apņemas izpildīt Pakalpojumu ne vēlāk kā līdz </w:t>
      </w:r>
      <w:r w:rsidRPr="0046083C">
        <w:rPr>
          <w:b/>
          <w:iCs/>
        </w:rPr>
        <w:t xml:space="preserve">2018.gada </w:t>
      </w:r>
      <w:r w:rsidR="00EA4E23">
        <w:rPr>
          <w:b/>
          <w:iCs/>
        </w:rPr>
        <w:t>26</w:t>
      </w:r>
      <w:r w:rsidR="0046083C" w:rsidRPr="0046083C">
        <w:rPr>
          <w:b/>
          <w:iCs/>
        </w:rPr>
        <w:t>.janvārim</w:t>
      </w:r>
      <w:r w:rsidRPr="00B977CB">
        <w:t xml:space="preserve"> (8 (astoņu)) mēnešu laikā no šī Līguma noslēgšanas dienas, ieskaitot ekspertīzes veikšanas laiku, ievērojot šādus Pakalpojuma izpildes termiņus:</w:t>
      </w:r>
    </w:p>
    <w:p w:rsidR="00C73F6F" w:rsidRPr="00B977CB" w:rsidRDefault="00C73F6F" w:rsidP="00C73F6F">
      <w:pPr>
        <w:numPr>
          <w:ilvl w:val="2"/>
          <w:numId w:val="1"/>
        </w:numPr>
        <w:ind w:left="993" w:hanging="567"/>
        <w:jc w:val="both"/>
      </w:pPr>
      <w:r w:rsidRPr="00B977CB">
        <w:t xml:space="preserve">Būvprojekts minimālā sastāvā jāiesniedz Pasūtītājam ne vēlāk kā līdz </w:t>
      </w:r>
      <w:r w:rsidRPr="0046083C">
        <w:rPr>
          <w:b/>
          <w:iCs/>
        </w:rPr>
        <w:t xml:space="preserve">2017.gada </w:t>
      </w:r>
      <w:r w:rsidR="00EA4E23">
        <w:rPr>
          <w:b/>
          <w:iCs/>
        </w:rPr>
        <w:t>26</w:t>
      </w:r>
      <w:r w:rsidR="0046083C" w:rsidRPr="0046083C">
        <w:rPr>
          <w:b/>
          <w:iCs/>
        </w:rPr>
        <w:t>.</w:t>
      </w:r>
      <w:r w:rsidRPr="0046083C">
        <w:rPr>
          <w:b/>
          <w:iCs/>
        </w:rPr>
        <w:t xml:space="preserve"> </w:t>
      </w:r>
      <w:r w:rsidR="0046083C" w:rsidRPr="0046083C">
        <w:rPr>
          <w:b/>
          <w:iCs/>
        </w:rPr>
        <w:t>augustam</w:t>
      </w:r>
      <w:r w:rsidRPr="00B977CB">
        <w:t xml:space="preserve"> (3 (trīs) mēnešu laikā no Līguma noslēgšanas dienas).</w:t>
      </w:r>
    </w:p>
    <w:p w:rsidR="00C73F6F" w:rsidRPr="00B977CB" w:rsidRDefault="00C73F6F" w:rsidP="00C73F6F">
      <w:pPr>
        <w:numPr>
          <w:ilvl w:val="2"/>
          <w:numId w:val="1"/>
        </w:numPr>
        <w:ind w:left="993" w:hanging="567"/>
        <w:jc w:val="both"/>
      </w:pPr>
      <w:r w:rsidRPr="00B977CB">
        <w:t xml:space="preserve">Būvprojekts ekspertīzes veikšanai jāiesniedz Pasūtītājam ne vēlāk kā līdz </w:t>
      </w:r>
      <w:r w:rsidRPr="00555270">
        <w:rPr>
          <w:b/>
          <w:iCs/>
        </w:rPr>
        <w:t>2017.</w:t>
      </w:r>
      <w:r w:rsidR="00555270" w:rsidRPr="00555270">
        <w:rPr>
          <w:b/>
          <w:iCs/>
        </w:rPr>
        <w:t xml:space="preserve">gada </w:t>
      </w:r>
      <w:r w:rsidR="00C650BF">
        <w:rPr>
          <w:b/>
          <w:iCs/>
        </w:rPr>
        <w:t>15</w:t>
      </w:r>
      <w:r w:rsidR="00555270" w:rsidRPr="00555270">
        <w:rPr>
          <w:b/>
          <w:iCs/>
        </w:rPr>
        <w:t>.</w:t>
      </w:r>
      <w:r w:rsidRPr="00555270">
        <w:rPr>
          <w:b/>
          <w:iCs/>
        </w:rPr>
        <w:t xml:space="preserve"> </w:t>
      </w:r>
      <w:r w:rsidR="00C650BF">
        <w:rPr>
          <w:b/>
          <w:iCs/>
        </w:rPr>
        <w:t>decembrim</w:t>
      </w:r>
      <w:bookmarkStart w:id="32" w:name="_GoBack"/>
      <w:bookmarkEnd w:id="32"/>
      <w:r w:rsidRPr="00B977CB">
        <w:t xml:space="preserve"> (par Būvprojekta pilnu eksemplāru uzskatāms tāds eksemplārs, kuru par atbilstošu ekspertīzes veikšanai atzinis Pasūtītāja nolīgts Būvprojekta eksperts);</w:t>
      </w:r>
    </w:p>
    <w:p w:rsidR="00C73F6F" w:rsidRPr="00B977CB" w:rsidRDefault="00C73F6F" w:rsidP="00C73F6F">
      <w:pPr>
        <w:numPr>
          <w:ilvl w:val="2"/>
          <w:numId w:val="1"/>
        </w:numPr>
        <w:ind w:left="993" w:hanging="567"/>
        <w:jc w:val="both"/>
      </w:pPr>
      <w:r w:rsidRPr="00B977CB">
        <w:t xml:space="preserve">Būvprojekta visi eksemplāri (6 (seši) būvprojekta eksemplāri papīra formā un elektroniski vektora datu formā) ar Būvvaldes atzīmi par projektēšanas nosacījumu izpildi jāiesniedz Pasūtītājam ne vēlāk kā līdz </w:t>
      </w:r>
      <w:r w:rsidR="00555270">
        <w:rPr>
          <w:b/>
          <w:iCs/>
        </w:rPr>
        <w:t xml:space="preserve">2018.gada </w:t>
      </w:r>
      <w:r w:rsidR="00EA4E23">
        <w:rPr>
          <w:b/>
          <w:iCs/>
        </w:rPr>
        <w:t>26</w:t>
      </w:r>
      <w:r w:rsidR="00555270">
        <w:rPr>
          <w:b/>
          <w:iCs/>
        </w:rPr>
        <w:t>.janvārim</w:t>
      </w:r>
      <w:r w:rsidR="0046083C">
        <w:rPr>
          <w:iCs/>
        </w:rPr>
        <w:t xml:space="preserve"> </w:t>
      </w:r>
      <w:r w:rsidRPr="00B977CB">
        <w:t>(8 (astoņu) mēnešu laikā no Līguma noslēgšanas dienas).</w:t>
      </w:r>
    </w:p>
    <w:p w:rsidR="00C73F6F" w:rsidRPr="00B977CB" w:rsidRDefault="00C73F6F" w:rsidP="00C73F6F">
      <w:pPr>
        <w:numPr>
          <w:ilvl w:val="1"/>
          <w:numId w:val="1"/>
        </w:numPr>
        <w:ind w:left="426" w:hanging="426"/>
        <w:jc w:val="both"/>
      </w:pPr>
      <w:r w:rsidRPr="00B977CB">
        <w:t>Pasūtītājs izskata Līguma 4.2.1.punktā noteiktos materiālus</w:t>
      </w:r>
      <w:r w:rsidRPr="00B977CB" w:rsidDel="0043382B">
        <w:t xml:space="preserve"> </w:t>
      </w:r>
      <w:r w:rsidRPr="00B977CB">
        <w:t>un sniedz atbildi 10 (desmit) darba dienu laikā no dokumentu saņemšanas. Pārējos gadījumos Pasūtītājs atbild uz Izpildītāja uzdotajiem jautājumiem 5 (piecu) darba dienu laikā pēc to saņemšanas.</w:t>
      </w:r>
    </w:p>
    <w:p w:rsidR="00C73F6F" w:rsidRPr="00B977CB" w:rsidRDefault="00C73F6F" w:rsidP="00C73F6F">
      <w:pPr>
        <w:numPr>
          <w:ilvl w:val="1"/>
          <w:numId w:val="1"/>
        </w:numPr>
        <w:ind w:left="426" w:hanging="426"/>
        <w:jc w:val="both"/>
      </w:pPr>
      <w:r w:rsidRPr="00B977CB">
        <w:t>Izpildītājs atbild uz Pasūtītāja uzdotajiem jautājumiem un labo kļūdas un trūkumus iesniegtajā dokumentācijā, kas Izpildītājam bija jāievērtē Būvprojekta izstrādes laikā, arī pēc Būvprojekta apstiprināšanas - līdz būves pieņemšanai ekspluatācijā.</w:t>
      </w:r>
    </w:p>
    <w:p w:rsidR="00C73F6F" w:rsidRPr="00B977CB" w:rsidRDefault="00C73F6F" w:rsidP="00C73F6F">
      <w:pPr>
        <w:ind w:left="142"/>
        <w:jc w:val="both"/>
      </w:pPr>
    </w:p>
    <w:p w:rsidR="00C73F6F" w:rsidRPr="00B977CB" w:rsidRDefault="00C73F6F" w:rsidP="00C73F6F">
      <w:pPr>
        <w:numPr>
          <w:ilvl w:val="0"/>
          <w:numId w:val="1"/>
        </w:numPr>
        <w:rPr>
          <w:b/>
        </w:rPr>
      </w:pPr>
      <w:bookmarkStart w:id="33" w:name="_Toc99858914"/>
      <w:bookmarkStart w:id="34" w:name="_Toc154971718"/>
      <w:bookmarkStart w:id="35" w:name="_Toc164646944"/>
      <w:bookmarkStart w:id="36" w:name="_Toc251922215"/>
      <w:bookmarkStart w:id="37" w:name="_Toc251923490"/>
      <w:bookmarkStart w:id="38" w:name="_Toc251928431"/>
      <w:bookmarkStart w:id="39" w:name="_Toc252192310"/>
      <w:r w:rsidRPr="00B977CB">
        <w:rPr>
          <w:b/>
          <w:bCs/>
        </w:rPr>
        <w:t>Izpildītāja personāls un apakšuzņēmēji</w:t>
      </w:r>
      <w:r w:rsidRPr="00B977CB">
        <w:rPr>
          <w:b/>
        </w:rPr>
        <w:t xml:space="preserve"> </w:t>
      </w:r>
    </w:p>
    <w:p w:rsidR="00C73F6F" w:rsidRPr="00B977CB" w:rsidRDefault="00C73F6F" w:rsidP="00C73F6F">
      <w:pPr>
        <w:numPr>
          <w:ilvl w:val="1"/>
          <w:numId w:val="1"/>
        </w:numPr>
        <w:ind w:left="426" w:hanging="426"/>
        <w:jc w:val="both"/>
      </w:pPr>
      <w:r w:rsidRPr="00B977CB">
        <w:t>Izpildītājs ir tiesīgs bez saskaņošanas ar pasūtītāju veikt personāla un apakšuzņēmēju nomaiņu, kā arī papildu personāla un apakšuzņēmēju iesaistīšanu Līguma izpildē, izņemot Līguma 5.2. un 5.4.punktā minētos gadījumus.</w:t>
      </w:r>
    </w:p>
    <w:p w:rsidR="00C73F6F" w:rsidRPr="00B977CB" w:rsidRDefault="00C73F6F" w:rsidP="00C73F6F">
      <w:pPr>
        <w:numPr>
          <w:ilvl w:val="1"/>
          <w:numId w:val="1"/>
        </w:numPr>
        <w:ind w:left="426" w:hanging="426"/>
        <w:jc w:val="both"/>
      </w:pPr>
      <w:r w:rsidRPr="00B977CB">
        <w:t>Izpildītājs personālu, kuru tas iesaistījis Līguma izpildē, par kuru sniedzis informāciju pasūtītājam un kura kvalifikācijas atbilstību izvirzītajām prasībām pasūtītājs ir vērtējis, kā arī apakšuzņēmējus, uz kuru iespējām Iepirkumā izraudzītais pretendents balstījies, lai apliecinātu savas kvalifikācijas atbilstību Iepirkuma dokumentos noteiktajām prasībām, pēc Līguma noslēgšanas drīkst nomainīt tikai ar Pasūtītāja rakstveida piekrišanu, ievērojot Līguma 5.3.punkta nosacījumus.</w:t>
      </w:r>
    </w:p>
    <w:p w:rsidR="00C73F6F" w:rsidRPr="00B977CB" w:rsidRDefault="00C73F6F" w:rsidP="00C73F6F">
      <w:pPr>
        <w:numPr>
          <w:ilvl w:val="1"/>
          <w:numId w:val="1"/>
        </w:numPr>
        <w:ind w:left="426" w:hanging="426"/>
        <w:jc w:val="both"/>
      </w:pPr>
      <w:r w:rsidRPr="00B977CB">
        <w:t>Pasūtītājs nepiekrīt 5.2.punktā minētā personāla un apakšuzņēmēju nomaiņai, ja pastāv kāds no šādiem nosacījumiem:</w:t>
      </w:r>
    </w:p>
    <w:p w:rsidR="00C73F6F" w:rsidRPr="00B977CB" w:rsidRDefault="00C73F6F" w:rsidP="00C73F6F">
      <w:pPr>
        <w:numPr>
          <w:ilvl w:val="2"/>
          <w:numId w:val="1"/>
        </w:numPr>
        <w:ind w:left="1134" w:hanging="567"/>
        <w:jc w:val="both"/>
      </w:pPr>
      <w:r w:rsidRPr="00B977CB">
        <w:t>Izpildītāja piedāvātais personāls vai apakšuzņēmējs neatbilst tām Iepirkuma dokumentos noteiktajām prasībām, kas attiecas uz piegādātāja personālu vai apakšuzņēmējiem;</w:t>
      </w:r>
    </w:p>
    <w:p w:rsidR="00C73F6F" w:rsidRPr="00B977CB" w:rsidRDefault="00C73F6F" w:rsidP="00C73F6F">
      <w:pPr>
        <w:numPr>
          <w:ilvl w:val="2"/>
          <w:numId w:val="1"/>
        </w:numPr>
        <w:ind w:left="1134" w:hanging="567"/>
        <w:jc w:val="both"/>
      </w:pPr>
      <w:r w:rsidRPr="00B977CB">
        <w:t>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C73F6F" w:rsidRPr="00B977CB" w:rsidRDefault="00C73F6F" w:rsidP="00C73F6F">
      <w:pPr>
        <w:numPr>
          <w:ilvl w:val="1"/>
          <w:numId w:val="1"/>
        </w:numPr>
        <w:ind w:left="426" w:hanging="426"/>
        <w:jc w:val="both"/>
      </w:pPr>
      <w:r w:rsidRPr="00B977CB">
        <w:t>Izpildītājs atbild par apakšuzņēmēju darbu.</w:t>
      </w:r>
    </w:p>
    <w:p w:rsidR="00C73F6F" w:rsidRPr="00B977CB" w:rsidRDefault="00C73F6F" w:rsidP="00C73F6F">
      <w:pPr>
        <w:ind w:left="426"/>
        <w:jc w:val="both"/>
        <w:rPr>
          <w:b/>
        </w:rPr>
      </w:pPr>
    </w:p>
    <w:p w:rsidR="00C73F6F" w:rsidRPr="00B977CB" w:rsidRDefault="00C73F6F" w:rsidP="00C73F6F">
      <w:pPr>
        <w:numPr>
          <w:ilvl w:val="0"/>
          <w:numId w:val="1"/>
        </w:numPr>
        <w:jc w:val="both"/>
        <w:rPr>
          <w:b/>
        </w:rPr>
      </w:pPr>
      <w:r w:rsidRPr="00B977CB">
        <w:rPr>
          <w:b/>
        </w:rPr>
        <w:t>Pakalpojuma izpilde un pieņemšana</w:t>
      </w:r>
    </w:p>
    <w:p w:rsidR="00C73F6F" w:rsidRPr="00B977CB" w:rsidRDefault="00C73F6F" w:rsidP="00C73F6F">
      <w:pPr>
        <w:numPr>
          <w:ilvl w:val="1"/>
          <w:numId w:val="1"/>
        </w:numPr>
        <w:ind w:left="426" w:hanging="426"/>
        <w:jc w:val="both"/>
        <w:rPr>
          <w:bCs/>
        </w:rPr>
      </w:pPr>
      <w:r w:rsidRPr="00B977CB">
        <w:t>Pasūtītājs vienu reizi mēnesī, bet nepieciešamības gadījumā biežāk, organizē sanāksmes, lai pārrunātu Pakalpojuma izpildi, kurās piedalās Pasūtītāja un Izpildītāja pārstāvji.</w:t>
      </w:r>
    </w:p>
    <w:p w:rsidR="00C73F6F" w:rsidRPr="00B977CB" w:rsidRDefault="00C73F6F" w:rsidP="00C73F6F">
      <w:pPr>
        <w:numPr>
          <w:ilvl w:val="1"/>
          <w:numId w:val="1"/>
        </w:numPr>
        <w:ind w:left="426" w:hanging="426"/>
        <w:jc w:val="both"/>
        <w:rPr>
          <w:bCs/>
        </w:rPr>
      </w:pPr>
      <w:r w:rsidRPr="00B977CB">
        <w:rPr>
          <w:bCs/>
        </w:rPr>
        <w:t>Izpildītājs nodod un Pasūtītājs pieņem kvalitatīvi izpildītu Pakalpojumu ar pieņemšanas – nodošanas aktu. Pirms pieņemšanas – nodošanas akta parakstīšanas no Pasūtītāja puses, Pasūtītājs pārliecinās par Pakalpojuma atbilstību Tehniskās specifikācijas prasībām. Ja Pasūtītāja pārstāvji lemj par Pakalpojuma atbilstību, Pasūtītājs paraksta pieņemšanas – nodošanas aktu un Pakalpojums uzskatāms par izpildītu.</w:t>
      </w:r>
    </w:p>
    <w:p w:rsidR="00C73F6F" w:rsidRPr="00B977CB" w:rsidRDefault="00C73F6F" w:rsidP="00C73F6F">
      <w:pPr>
        <w:numPr>
          <w:ilvl w:val="1"/>
          <w:numId w:val="1"/>
        </w:numPr>
        <w:ind w:left="426" w:hanging="426"/>
        <w:jc w:val="both"/>
        <w:rPr>
          <w:bCs/>
        </w:rPr>
      </w:pPr>
      <w:r w:rsidRPr="00B977CB">
        <w:rPr>
          <w:bCs/>
        </w:rPr>
        <w:t xml:space="preserve">Gadījumā, ja Izpildītājs neveic un/vai aizkavē Līgumā noteikto pienākumu izpildi, un/vai Pakalpojuma izpilde veikta nepilnīgi un/vai nekvalitatīvi, Pasūtītājam ir tiesības neparakstīt Izpildītāja iesniegto pieņemšanas – nodošanas aktu. Šādā gadījumā Pasūtītājs </w:t>
      </w:r>
      <w:r w:rsidRPr="00B977CB">
        <w:rPr>
          <w:bCs/>
        </w:rPr>
        <w:lastRenderedPageBreak/>
        <w:t>sastāda defektu aktu, kurā norāda konstatētos trūkumus un to novēršanas termiņus un šo aktu iesniedz Izpildītājam. Pieņemšanas – nodošanas akts tiek parakstīts pēc trūkumu novēršanas. Izpildītājs trūkumus novērš par saviem līdzekļiem.</w:t>
      </w:r>
    </w:p>
    <w:p w:rsidR="00C73F6F" w:rsidRPr="00B977CB" w:rsidRDefault="00C73F6F" w:rsidP="00C73F6F">
      <w:pPr>
        <w:jc w:val="both"/>
        <w:rPr>
          <w:bCs/>
        </w:rPr>
      </w:pPr>
    </w:p>
    <w:p w:rsidR="00C73F6F" w:rsidRPr="00B977CB" w:rsidRDefault="00C73F6F" w:rsidP="00C73F6F">
      <w:pPr>
        <w:numPr>
          <w:ilvl w:val="0"/>
          <w:numId w:val="1"/>
        </w:numPr>
        <w:jc w:val="both"/>
        <w:rPr>
          <w:bCs/>
        </w:rPr>
      </w:pPr>
      <w:bookmarkStart w:id="40" w:name="_Toc99355313"/>
      <w:bookmarkStart w:id="41" w:name="_Toc94076355"/>
      <w:r w:rsidRPr="00B977CB">
        <w:rPr>
          <w:rFonts w:ascii="Times New Roman Bold" w:hAnsi="Times New Roman Bold"/>
          <w:b/>
          <w:bCs/>
        </w:rPr>
        <w:t>Pakalpojuma kvalitāte un līgumsods</w:t>
      </w:r>
      <w:bookmarkEnd w:id="40"/>
      <w:bookmarkEnd w:id="41"/>
    </w:p>
    <w:p w:rsidR="00C73F6F" w:rsidRPr="00B977CB" w:rsidRDefault="00C73F6F" w:rsidP="00C73F6F">
      <w:pPr>
        <w:numPr>
          <w:ilvl w:val="1"/>
          <w:numId w:val="1"/>
        </w:numPr>
        <w:ind w:left="426" w:hanging="426"/>
        <w:jc w:val="both"/>
        <w:rPr>
          <w:color w:val="000000"/>
          <w:spacing w:val="-3"/>
        </w:rPr>
      </w:pPr>
      <w:r w:rsidRPr="00B977CB">
        <w:t xml:space="preserve">Pakalpojuma izpildes, Būvprojekta realizācijas – būvdarbu un būves ekspluatācijas laikā konstatētās kļūdas un trūkumi – kas bija paredzami Būvprojekta izstrādes laikā, Izpildītāja sagatavotajos dokumentos Izpildītajam jālabo par saviem līdzekļiem. Ja Izpildītājs noteiktajā termiņā neveic prasītos labojumus, Pasūtītājam ir tiesības labošanu uzdot citai personai, un Izpildītājam ir jāsedz šo labojumu izmaksas. </w:t>
      </w:r>
    </w:p>
    <w:p w:rsidR="00C73F6F" w:rsidRPr="00B977CB" w:rsidRDefault="00C73F6F" w:rsidP="00C73F6F">
      <w:pPr>
        <w:numPr>
          <w:ilvl w:val="1"/>
          <w:numId w:val="1"/>
        </w:numPr>
        <w:ind w:left="426" w:hanging="426"/>
        <w:jc w:val="both"/>
      </w:pPr>
      <w:r w:rsidRPr="00B977CB">
        <w:t>Pēc Pasūtītāja pieprasījuma Izpildītājs maksā līgumsodu šādos gadījumos un apmēros:</w:t>
      </w:r>
    </w:p>
    <w:p w:rsidR="00C73F6F" w:rsidRPr="00B977CB" w:rsidRDefault="00C73F6F" w:rsidP="00C73F6F">
      <w:pPr>
        <w:numPr>
          <w:ilvl w:val="2"/>
          <w:numId w:val="1"/>
        </w:numPr>
        <w:ind w:left="1134" w:hanging="567"/>
        <w:contextualSpacing/>
        <w:jc w:val="both"/>
        <w:rPr>
          <w:rFonts w:eastAsia="Arial Unicode MS"/>
        </w:rPr>
      </w:pPr>
      <w:r w:rsidRPr="00B977CB">
        <w:rPr>
          <w:rFonts w:eastAsia="Arial Unicode MS"/>
        </w:rPr>
        <w:t>par Pakalpojuma daļu, nodevumu vai jebkuru starpziņojumu iesniegšanas termiņu neievērošanu 0,1% (nulle komats viens procents) no Līgumcenas par katru nokavēto dienu, bet ne vairāk kā 10% (desmit procenti) no Līgumcenas;</w:t>
      </w:r>
    </w:p>
    <w:p w:rsidR="00C73F6F" w:rsidRPr="00B977CB" w:rsidRDefault="00C73F6F" w:rsidP="00C73F6F">
      <w:pPr>
        <w:numPr>
          <w:ilvl w:val="2"/>
          <w:numId w:val="1"/>
        </w:numPr>
        <w:ind w:left="1134" w:hanging="567"/>
        <w:jc w:val="both"/>
      </w:pPr>
      <w:r w:rsidRPr="00B977CB">
        <w:t xml:space="preserve">par Līguma 5.punktā noteikto nosacījumu neievērošanu 200.00 </w:t>
      </w:r>
      <w:proofErr w:type="spellStart"/>
      <w:r w:rsidRPr="00B977CB">
        <w:rPr>
          <w:i/>
        </w:rPr>
        <w:t>euro</w:t>
      </w:r>
      <w:proofErr w:type="spellEnd"/>
      <w:r w:rsidRPr="00B977CB">
        <w:t xml:space="preserve"> (divi simti </w:t>
      </w:r>
      <w:proofErr w:type="spellStart"/>
      <w:r w:rsidRPr="00B977CB">
        <w:rPr>
          <w:i/>
        </w:rPr>
        <w:t>euro</w:t>
      </w:r>
      <w:proofErr w:type="spellEnd"/>
      <w:r w:rsidRPr="00B977CB">
        <w:rPr>
          <w:i/>
        </w:rPr>
        <w:t xml:space="preserve">, </w:t>
      </w:r>
      <w:r w:rsidRPr="00B977CB">
        <w:t>00</w:t>
      </w:r>
      <w:r w:rsidRPr="00B977CB">
        <w:rPr>
          <w:i/>
        </w:rPr>
        <w:t xml:space="preserve"> centi</w:t>
      </w:r>
      <w:r w:rsidRPr="00B977CB">
        <w:t>) par katru konstatēto gadījumu.</w:t>
      </w:r>
    </w:p>
    <w:p w:rsidR="00C73F6F" w:rsidRPr="00B977CB" w:rsidRDefault="00C73F6F" w:rsidP="00C73F6F">
      <w:pPr>
        <w:numPr>
          <w:ilvl w:val="1"/>
          <w:numId w:val="1"/>
        </w:numPr>
        <w:ind w:left="426" w:hanging="426"/>
        <w:contextualSpacing/>
        <w:jc w:val="both"/>
        <w:rPr>
          <w:rFonts w:eastAsia="Arial Unicode MS"/>
          <w:color w:val="000000"/>
          <w:spacing w:val="-3"/>
        </w:rPr>
      </w:pPr>
      <w:r w:rsidRPr="00B977CB">
        <w:rPr>
          <w:rFonts w:eastAsia="Arial Unicode MS"/>
        </w:rPr>
        <w:t xml:space="preserve">Līgumsoda samaksa neatbrīvo Izpildītāju no atbildības par Pakalpojuma izpildi. </w:t>
      </w:r>
    </w:p>
    <w:p w:rsidR="00C73F6F" w:rsidRPr="00B977CB" w:rsidRDefault="00C73F6F" w:rsidP="00C73F6F">
      <w:pPr>
        <w:numPr>
          <w:ilvl w:val="1"/>
          <w:numId w:val="1"/>
        </w:numPr>
        <w:ind w:left="426" w:hanging="426"/>
        <w:jc w:val="both"/>
        <w:rPr>
          <w:color w:val="000000"/>
          <w:spacing w:val="-3"/>
        </w:rPr>
      </w:pPr>
      <w:r w:rsidRPr="00B977CB">
        <w:t>Pēc Izpildītāja pieprasījuma Pasūtītājs maksā līgumsodu par Izpildītājam pienākošos maksājumu neveikšanu Līgumā noteiktajā kārtībā, 0,1% (nulle komats viens procents) no nokavētā maksājuma summas par katru kavējuma dienu, bet ne vairāk kā 10% (desmit procenti) no Līgumcenas.</w:t>
      </w:r>
    </w:p>
    <w:p w:rsidR="00C73F6F" w:rsidRPr="00B977CB" w:rsidRDefault="00C73F6F" w:rsidP="00C73F6F">
      <w:pPr>
        <w:numPr>
          <w:ilvl w:val="1"/>
          <w:numId w:val="1"/>
        </w:numPr>
        <w:ind w:left="426" w:hanging="426"/>
        <w:jc w:val="both"/>
        <w:rPr>
          <w:color w:val="000000"/>
          <w:spacing w:val="-3"/>
        </w:rPr>
      </w:pPr>
      <w:r w:rsidRPr="00B977CB">
        <w:rPr>
          <w:color w:val="000000"/>
          <w:spacing w:val="-3"/>
        </w:rPr>
        <w:t>Izbeidzot Līgumu pēc vienas Puses iniciatīvas, kas ir saistītas ar otras Puses līgumsaistību neizpildi vai nepienācīgu izpildi, vainīgā Puse par šo saistību neizpildi vai nepienācīgu izpildi maksā otrai Pusei līgumsodu 10% (desmit procenti) apmērā no Līgumcenas.</w:t>
      </w:r>
    </w:p>
    <w:p w:rsidR="00C73F6F" w:rsidRPr="00B977CB" w:rsidRDefault="00C73F6F" w:rsidP="00C73F6F">
      <w:pPr>
        <w:numPr>
          <w:ilvl w:val="1"/>
          <w:numId w:val="1"/>
        </w:numPr>
        <w:ind w:left="426" w:hanging="426"/>
        <w:jc w:val="both"/>
      </w:pPr>
      <w:r w:rsidRPr="00B977CB">
        <w:t>Visus Līgumā minētos un aprēķinātos līgumsodus Puses samaksā viena otrai 10 (desmit) darba dienu laikā no rēķina saņemšanas dienas, kā arī Pasūtītājam ir tiesības ieskaita kārtībā samazināt maksājamo naudas summu Izpildītājam, kas paredzēta par izpildīto Pakalpojumu tādā apmērā, kāda ir aprēķinātā līgumsodu summa.</w:t>
      </w:r>
    </w:p>
    <w:p w:rsidR="00C73F6F" w:rsidRPr="00B977CB" w:rsidRDefault="00C73F6F" w:rsidP="00C73F6F">
      <w:pPr>
        <w:jc w:val="both"/>
        <w:rPr>
          <w:bCs/>
        </w:rPr>
      </w:pPr>
    </w:p>
    <w:p w:rsidR="00C73F6F" w:rsidRPr="00B977CB" w:rsidRDefault="00C73F6F" w:rsidP="00C73F6F">
      <w:pPr>
        <w:numPr>
          <w:ilvl w:val="0"/>
          <w:numId w:val="1"/>
        </w:numPr>
        <w:jc w:val="both"/>
        <w:rPr>
          <w:b/>
        </w:rPr>
      </w:pPr>
      <w:r w:rsidRPr="00B977CB">
        <w:rPr>
          <w:b/>
        </w:rPr>
        <w:t>Apdrošināšana</w:t>
      </w:r>
    </w:p>
    <w:p w:rsidR="00C73F6F" w:rsidRPr="00B977CB" w:rsidRDefault="00C73F6F" w:rsidP="00C73F6F">
      <w:pPr>
        <w:numPr>
          <w:ilvl w:val="1"/>
          <w:numId w:val="1"/>
        </w:numPr>
        <w:ind w:left="426" w:hanging="426"/>
        <w:jc w:val="both"/>
      </w:pPr>
      <w:r w:rsidRPr="00B977CB">
        <w:t xml:space="preserve">Izpildītājam ir pienākums 3 (trīs) dienu laikā pēc Līguma parakstīšanas iesniegt Pasūtītājam </w:t>
      </w:r>
      <w:proofErr w:type="spellStart"/>
      <w:r w:rsidRPr="00B977CB">
        <w:t>būvspeciālista</w:t>
      </w:r>
      <w:proofErr w:type="spellEnd"/>
      <w:r w:rsidRPr="00B977CB">
        <w:t xml:space="preserve">, kas veiks būvprojekta vadītāja pienākumus, profesionālās civiltiesiskās atbildības apdrošināšanas līgumu par visu projektēšanas un būvdarbu laiku, sākotnējam līgumam jābūt noslēgtam ne mazāk kā uz trīs gadiem. Apdrošināšanas līgumu slēdz atbilstoši Ministru kabineta 2014.gada 19.augusta noteikumiem Nr.502 „Noteikumi par </w:t>
      </w:r>
      <w:proofErr w:type="spellStart"/>
      <w:r w:rsidRPr="00B977CB">
        <w:t>būvspeciālistu</w:t>
      </w:r>
      <w:proofErr w:type="spellEnd"/>
      <w:r w:rsidRPr="00B977CB">
        <w:t xml:space="preserve"> un būvdarbu veicēju civiltiesiskās atbildības obligāto apdrošināšanu”. Izpildītājam jānodrošina, ka apdrošināšanas līgums ir spēkā projektēšanas un būvdarbu izpildes laikā.</w:t>
      </w:r>
    </w:p>
    <w:p w:rsidR="00C73F6F" w:rsidRPr="00B977CB" w:rsidRDefault="00C73F6F" w:rsidP="00C73F6F">
      <w:pPr>
        <w:numPr>
          <w:ilvl w:val="1"/>
          <w:numId w:val="1"/>
        </w:numPr>
        <w:ind w:left="426" w:hanging="426"/>
        <w:jc w:val="both"/>
      </w:pPr>
      <w:r w:rsidRPr="00B977CB">
        <w:t xml:space="preserve">Gadījumā, ja šī Līguma parakstīšanas dienā Izpildītājam ir spēkā esošs apdrošināšanas līgums, kas atbilst Līguma </w:t>
      </w:r>
      <w:r w:rsidR="00555270">
        <w:t>8</w:t>
      </w:r>
      <w:r w:rsidRPr="00B977CB">
        <w:t>.1.punkta prasībām, izņemot tā termiņu, Izpildītājam ir pienākums pirms spēkā esošā apdrošināšanas līguma darbības beigām, iesniegt Pasūtītājam jaunu apdrošināšanas līgumu, kura beigu termiņš būtu vismaz trīs gadi no šī Līguma spēkā stāšanās dienas.</w:t>
      </w:r>
    </w:p>
    <w:p w:rsidR="00C73F6F" w:rsidRPr="00B977CB" w:rsidRDefault="00C73F6F" w:rsidP="00C73F6F">
      <w:pPr>
        <w:ind w:left="574"/>
        <w:jc w:val="both"/>
      </w:pPr>
    </w:p>
    <w:p w:rsidR="00C73F6F" w:rsidRPr="00B977CB" w:rsidRDefault="00C73F6F" w:rsidP="00C73F6F">
      <w:pPr>
        <w:numPr>
          <w:ilvl w:val="0"/>
          <w:numId w:val="1"/>
        </w:numPr>
        <w:jc w:val="both"/>
        <w:rPr>
          <w:bCs/>
        </w:rPr>
      </w:pPr>
      <w:r w:rsidRPr="00B977CB">
        <w:rPr>
          <w:rFonts w:ascii="Times New Roman Bold" w:hAnsi="Times New Roman Bold"/>
          <w:b/>
          <w:bCs/>
        </w:rPr>
        <w:t>Zaudējumu atlīdzība</w:t>
      </w:r>
    </w:p>
    <w:p w:rsidR="00C73F6F" w:rsidRPr="00B977CB" w:rsidRDefault="00C73F6F" w:rsidP="00C73F6F">
      <w:pPr>
        <w:numPr>
          <w:ilvl w:val="1"/>
          <w:numId w:val="1"/>
        </w:numPr>
        <w:ind w:left="567" w:hanging="567"/>
        <w:contextualSpacing/>
        <w:jc w:val="both"/>
        <w:rPr>
          <w:rFonts w:eastAsia="Arial Unicode MS"/>
          <w:spacing w:val="-3"/>
        </w:rPr>
      </w:pPr>
      <w:r w:rsidRPr="00B977CB">
        <w:rPr>
          <w:rFonts w:eastAsia="Arial Unicode MS"/>
          <w:spacing w:val="-3"/>
        </w:rPr>
        <w:t>Izpildītajam ir tiesības prasīt zaudējumu atlīdzību gadījumos, ja:</w:t>
      </w:r>
    </w:p>
    <w:p w:rsidR="00C73F6F" w:rsidRPr="00B977CB" w:rsidRDefault="00C73F6F" w:rsidP="00C73F6F">
      <w:pPr>
        <w:numPr>
          <w:ilvl w:val="2"/>
          <w:numId w:val="1"/>
        </w:numPr>
        <w:ind w:left="1214" w:hanging="657"/>
        <w:contextualSpacing/>
        <w:jc w:val="both"/>
        <w:rPr>
          <w:rFonts w:eastAsia="Arial Unicode MS"/>
          <w:spacing w:val="-3"/>
        </w:rPr>
      </w:pPr>
      <w:r w:rsidRPr="00B977CB">
        <w:rPr>
          <w:rFonts w:eastAsia="Arial Unicode MS"/>
          <w:spacing w:val="-3"/>
        </w:rPr>
        <w:t>Pasūtītājs nepamatoti nesaskaņo speciālistu un/vai apakšuzņēmēju maiņu;</w:t>
      </w:r>
    </w:p>
    <w:p w:rsidR="00C73F6F" w:rsidRPr="00B977CB" w:rsidRDefault="00C73F6F" w:rsidP="00C73F6F">
      <w:pPr>
        <w:numPr>
          <w:ilvl w:val="2"/>
          <w:numId w:val="1"/>
        </w:numPr>
        <w:ind w:left="1214" w:hanging="657"/>
        <w:contextualSpacing/>
        <w:jc w:val="both"/>
        <w:rPr>
          <w:rFonts w:eastAsia="Arial Unicode MS"/>
          <w:spacing w:val="-3"/>
        </w:rPr>
      </w:pPr>
      <w:r w:rsidRPr="00B977CB">
        <w:rPr>
          <w:rFonts w:eastAsia="Arial Unicode MS"/>
          <w:spacing w:val="-3"/>
        </w:rPr>
        <w:t>Citos gadījumos, kad Pasūtītāja vainas dēļ Izpildītājam ir radušies zaudējumi.</w:t>
      </w:r>
    </w:p>
    <w:p w:rsidR="00C73F6F" w:rsidRPr="00B977CB" w:rsidRDefault="00C73F6F" w:rsidP="00C73F6F">
      <w:pPr>
        <w:numPr>
          <w:ilvl w:val="1"/>
          <w:numId w:val="1"/>
        </w:numPr>
        <w:ind w:hanging="574"/>
        <w:contextualSpacing/>
        <w:jc w:val="both"/>
        <w:rPr>
          <w:rFonts w:eastAsia="Arial Unicode MS"/>
          <w:spacing w:val="-3"/>
        </w:rPr>
      </w:pPr>
      <w:r w:rsidRPr="00B977CB">
        <w:rPr>
          <w:rFonts w:eastAsia="Arial Unicode MS"/>
          <w:spacing w:val="-3"/>
        </w:rPr>
        <w:t xml:space="preserve">Pasūtītājam ir tiesības saņemt zaudējumu atlīdzību gadījumos, ja: </w:t>
      </w:r>
    </w:p>
    <w:p w:rsidR="00C73F6F" w:rsidRPr="00B977CB" w:rsidRDefault="00C73F6F" w:rsidP="00C73F6F">
      <w:pPr>
        <w:numPr>
          <w:ilvl w:val="2"/>
          <w:numId w:val="1"/>
        </w:numPr>
        <w:ind w:left="1276" w:hanging="709"/>
        <w:contextualSpacing/>
        <w:jc w:val="both"/>
        <w:rPr>
          <w:rFonts w:eastAsia="Arial Unicode MS"/>
          <w:spacing w:val="-3"/>
        </w:rPr>
      </w:pPr>
      <w:r w:rsidRPr="00B977CB">
        <w:rPr>
          <w:rFonts w:eastAsia="Arial Unicode MS"/>
          <w:spacing w:val="-3"/>
        </w:rPr>
        <w:t>Izpildītājs Pasūtītāja norādītajā termiņā nav novērsis Pakalpojuma izpildē atklātās kļūdas un trūkumus;</w:t>
      </w:r>
    </w:p>
    <w:p w:rsidR="00C73F6F" w:rsidRPr="00B977CB" w:rsidRDefault="00C73F6F" w:rsidP="00C73F6F">
      <w:pPr>
        <w:numPr>
          <w:ilvl w:val="2"/>
          <w:numId w:val="1"/>
        </w:numPr>
        <w:ind w:left="1276" w:hanging="709"/>
        <w:contextualSpacing/>
        <w:jc w:val="both"/>
        <w:rPr>
          <w:rFonts w:eastAsia="Arial Unicode MS"/>
          <w:spacing w:val="-3"/>
        </w:rPr>
      </w:pPr>
      <w:r w:rsidRPr="00B977CB">
        <w:rPr>
          <w:rFonts w:eastAsia="Arial Unicode MS"/>
          <w:spacing w:val="-3"/>
        </w:rPr>
        <w:t>Citos gadījumos, kad Izpildītāja vainas dēļ Pasūtītājam ir radušies zaudējumi.</w:t>
      </w:r>
    </w:p>
    <w:p w:rsidR="00C73F6F" w:rsidRPr="00B977CB" w:rsidRDefault="00C73F6F" w:rsidP="00C73F6F">
      <w:pPr>
        <w:numPr>
          <w:ilvl w:val="1"/>
          <w:numId w:val="1"/>
        </w:numPr>
        <w:ind w:hanging="574"/>
        <w:contextualSpacing/>
        <w:jc w:val="both"/>
        <w:rPr>
          <w:rFonts w:eastAsia="Arial Unicode MS"/>
          <w:spacing w:val="-3"/>
        </w:rPr>
      </w:pPr>
      <w:r w:rsidRPr="00B977CB">
        <w:rPr>
          <w:rFonts w:eastAsia="Arial Unicode MS"/>
          <w:spacing w:val="-3"/>
        </w:rPr>
        <w:lastRenderedPageBreak/>
        <w:t>Puses savlaicīgi brīdina viena otru par zaudējumus radošu gadījumu iestāšanos, lai varētu pretendēt uz zaudējumu atlīdzības saņemšanu.</w:t>
      </w:r>
    </w:p>
    <w:p w:rsidR="00C73F6F" w:rsidRPr="00B977CB" w:rsidRDefault="00C73F6F" w:rsidP="00C73F6F">
      <w:pPr>
        <w:ind w:left="574"/>
        <w:contextualSpacing/>
        <w:jc w:val="both"/>
        <w:rPr>
          <w:rFonts w:eastAsia="Arial Unicode MS"/>
          <w:spacing w:val="-3"/>
        </w:rPr>
      </w:pPr>
    </w:p>
    <w:p w:rsidR="00C73F6F" w:rsidRPr="00B977CB" w:rsidRDefault="00C73F6F" w:rsidP="00C73F6F">
      <w:pPr>
        <w:keepNext/>
        <w:numPr>
          <w:ilvl w:val="0"/>
          <w:numId w:val="1"/>
        </w:numPr>
        <w:jc w:val="both"/>
        <w:outlineLvl w:val="3"/>
        <w:rPr>
          <w:rFonts w:ascii="Times New Roman Bold" w:hAnsi="Times New Roman Bold"/>
          <w:b/>
          <w:bCs/>
        </w:rPr>
      </w:pPr>
      <w:bookmarkStart w:id="42" w:name="_Toc99355316"/>
      <w:bookmarkStart w:id="43" w:name="_Toc94076358"/>
      <w:r w:rsidRPr="00B977CB">
        <w:rPr>
          <w:rFonts w:ascii="Times New Roman Bold" w:hAnsi="Times New Roman Bold"/>
          <w:b/>
          <w:bCs/>
        </w:rPr>
        <w:t xml:space="preserve">Līguma </w:t>
      </w:r>
      <w:bookmarkEnd w:id="42"/>
      <w:bookmarkEnd w:id="43"/>
      <w:r w:rsidRPr="00B977CB">
        <w:rPr>
          <w:rFonts w:ascii="Times New Roman Bold" w:hAnsi="Times New Roman Bold"/>
          <w:b/>
          <w:bCs/>
        </w:rPr>
        <w:t>grozīšana</w:t>
      </w:r>
    </w:p>
    <w:p w:rsidR="00C73F6F" w:rsidRPr="00B977CB" w:rsidRDefault="00C73F6F" w:rsidP="00C73F6F">
      <w:pPr>
        <w:numPr>
          <w:ilvl w:val="1"/>
          <w:numId w:val="1"/>
        </w:numPr>
        <w:ind w:left="567" w:hanging="567"/>
        <w:jc w:val="both"/>
      </w:pPr>
      <w:r w:rsidRPr="00B977CB">
        <w:t>Ja pēc Līguma noslēgšanas datuma spēkā esošajos normatīvajos aktos tiek izdarīti grozījumi, kas pazemina vai paaugstina Izpildītāja veiktās Pakalpojuma izmaksas, un šādi grozījumi nav atspoguļoti Līgumcenā, tad, pēc abu Pušu savstarpējas vienošanās, tiek grozīta Līgumcena.</w:t>
      </w:r>
    </w:p>
    <w:p w:rsidR="00C73F6F" w:rsidRPr="00B977CB" w:rsidRDefault="00C73F6F" w:rsidP="00C73F6F">
      <w:pPr>
        <w:numPr>
          <w:ilvl w:val="1"/>
          <w:numId w:val="1"/>
        </w:numPr>
        <w:ind w:left="567" w:hanging="567"/>
        <w:jc w:val="both"/>
      </w:pPr>
      <w:r w:rsidRPr="00B977CB">
        <w:t>Līgumcena var tikt grozīta, ja puses vienojas grozīt Līguma 1.pielikumu “Tehniskā specifikācija”, un tas ietekmē Izpildītāja izdevumus.</w:t>
      </w:r>
    </w:p>
    <w:p w:rsidR="00C73F6F" w:rsidRPr="00B977CB" w:rsidRDefault="00C73F6F" w:rsidP="00C73F6F">
      <w:pPr>
        <w:numPr>
          <w:ilvl w:val="1"/>
          <w:numId w:val="1"/>
        </w:numPr>
        <w:ind w:left="567" w:hanging="567"/>
        <w:jc w:val="both"/>
      </w:pPr>
      <w:r w:rsidRPr="00B977CB">
        <w:t>Termiņš Pakalpojuma pabeigšanai tiek noteikts Līgumā, bet, ja tas tiek pagarināts, tad tiek noslēgta papildus vienošanās pie Līguma.</w:t>
      </w:r>
    </w:p>
    <w:p w:rsidR="00C73F6F" w:rsidRPr="00B977CB" w:rsidRDefault="00C73F6F" w:rsidP="00C73F6F">
      <w:pPr>
        <w:numPr>
          <w:ilvl w:val="1"/>
          <w:numId w:val="1"/>
        </w:numPr>
        <w:ind w:left="567" w:hanging="567"/>
        <w:jc w:val="both"/>
      </w:pPr>
      <w:r w:rsidRPr="00B977CB">
        <w:t xml:space="preserve">Līguma grozījumi izdarāmi </w:t>
      </w:r>
      <w:proofErr w:type="spellStart"/>
      <w:r w:rsidRPr="00B977CB">
        <w:t>rakstveidā</w:t>
      </w:r>
      <w:proofErr w:type="spellEnd"/>
      <w:r w:rsidRPr="00B977CB">
        <w:t xml:space="preserve"> un tos paraksta abas Puses.</w:t>
      </w:r>
    </w:p>
    <w:p w:rsidR="00C73F6F" w:rsidRPr="00B977CB" w:rsidRDefault="00C73F6F" w:rsidP="00C73F6F">
      <w:pPr>
        <w:numPr>
          <w:ilvl w:val="1"/>
          <w:numId w:val="1"/>
        </w:numPr>
        <w:ind w:left="567" w:hanging="567"/>
        <w:jc w:val="both"/>
      </w:pPr>
      <w:r w:rsidRPr="00B977CB">
        <w:t>Izpildītājs ir tiesīgs saņemt Pakalpojuma izpildes laika pagarinājumu, ja:</w:t>
      </w:r>
    </w:p>
    <w:p w:rsidR="00C73F6F" w:rsidRPr="00B977CB" w:rsidRDefault="00C73F6F" w:rsidP="00C73F6F">
      <w:pPr>
        <w:numPr>
          <w:ilvl w:val="2"/>
          <w:numId w:val="1"/>
        </w:numPr>
        <w:ind w:left="1276" w:hanging="709"/>
        <w:contextualSpacing/>
        <w:jc w:val="both"/>
        <w:rPr>
          <w:rFonts w:eastAsia="Arial Unicode MS"/>
        </w:rPr>
      </w:pPr>
      <w:r w:rsidRPr="00B977CB">
        <w:rPr>
          <w:rFonts w:eastAsia="Arial Unicode MS"/>
        </w:rPr>
        <w:t>Pasūtītājs kavē vai aptur pakalpojuma veikšanu, no Izpildītāja neatkarīgu iemeslu dēļ, vai nesniedz atbildes Līguma 4.3.punktā noteiktajos termiņos;</w:t>
      </w:r>
    </w:p>
    <w:p w:rsidR="00C73F6F" w:rsidRPr="00B977CB" w:rsidRDefault="00C73F6F" w:rsidP="00C73F6F">
      <w:pPr>
        <w:numPr>
          <w:ilvl w:val="2"/>
          <w:numId w:val="1"/>
        </w:numPr>
        <w:ind w:left="1276" w:hanging="709"/>
        <w:contextualSpacing/>
        <w:jc w:val="both"/>
        <w:rPr>
          <w:rFonts w:eastAsia="Arial Unicode MS"/>
        </w:rPr>
      </w:pPr>
      <w:r w:rsidRPr="00B977CB">
        <w:rPr>
          <w:rFonts w:eastAsia="Arial Unicode MS"/>
        </w:rPr>
        <w:t>Pakalpojuma veikšanu kavē būtiski Līguma 1.pielikuma “Tehniskā specifikācija” grozījumi, kas nav Izpildītāja radīti.</w:t>
      </w:r>
    </w:p>
    <w:p w:rsidR="00C73F6F" w:rsidRPr="00B977CB" w:rsidRDefault="00C73F6F" w:rsidP="00C73F6F">
      <w:pPr>
        <w:numPr>
          <w:ilvl w:val="1"/>
          <w:numId w:val="1"/>
        </w:numPr>
        <w:ind w:left="567" w:hanging="567"/>
        <w:jc w:val="both"/>
      </w:pPr>
      <w:r w:rsidRPr="00B977CB">
        <w:t>Lemjot par Līguma grozījumu veikšanu, jāievēro Publisko iepirkumu likuma 61. panta noteikumi.</w:t>
      </w:r>
    </w:p>
    <w:p w:rsidR="00C73F6F" w:rsidRPr="00B977CB" w:rsidRDefault="00C73F6F" w:rsidP="00C73F6F">
      <w:pPr>
        <w:ind w:left="567"/>
        <w:jc w:val="both"/>
      </w:pPr>
    </w:p>
    <w:p w:rsidR="00C73F6F" w:rsidRPr="00B977CB" w:rsidRDefault="00C73F6F" w:rsidP="00C73F6F">
      <w:pPr>
        <w:keepNext/>
        <w:numPr>
          <w:ilvl w:val="0"/>
          <w:numId w:val="1"/>
        </w:numPr>
        <w:jc w:val="both"/>
        <w:outlineLvl w:val="3"/>
        <w:rPr>
          <w:rFonts w:ascii="Times New Roman Bold" w:hAnsi="Times New Roman Bold"/>
          <w:b/>
          <w:bCs/>
        </w:rPr>
      </w:pPr>
      <w:bookmarkStart w:id="44" w:name="_Toc99355317"/>
      <w:bookmarkStart w:id="45" w:name="_Toc94076359"/>
      <w:r w:rsidRPr="00B977CB">
        <w:rPr>
          <w:rFonts w:ascii="Times New Roman Bold" w:hAnsi="Times New Roman Bold"/>
          <w:b/>
          <w:bCs/>
        </w:rPr>
        <w:t>Līguma darbības izbeigšana</w:t>
      </w:r>
    </w:p>
    <w:p w:rsidR="00C73F6F" w:rsidRPr="00B977CB" w:rsidRDefault="00C73F6F" w:rsidP="00C73F6F">
      <w:pPr>
        <w:numPr>
          <w:ilvl w:val="1"/>
          <w:numId w:val="1"/>
        </w:numPr>
        <w:ind w:left="567" w:hanging="567"/>
        <w:jc w:val="both"/>
      </w:pPr>
      <w:r w:rsidRPr="00B977CB">
        <w:t>Izpildītājam ir tiesības prasīt izbeigt Līguma darbību, ja Pasūtītājs neveic maksājumus un līgumsods sasniedz 10% (desmit procenti) no Līgumcenas;</w:t>
      </w:r>
    </w:p>
    <w:p w:rsidR="00C73F6F" w:rsidRPr="00B977CB" w:rsidRDefault="00C73F6F" w:rsidP="00C73F6F">
      <w:pPr>
        <w:numPr>
          <w:ilvl w:val="1"/>
          <w:numId w:val="1"/>
        </w:numPr>
        <w:ind w:left="567" w:hanging="567"/>
        <w:jc w:val="both"/>
      </w:pPr>
      <w:r w:rsidRPr="00B977CB">
        <w:t>Pasūtītājam ir tiesības prasīt izbeigt Līguma darbību, ja:</w:t>
      </w:r>
    </w:p>
    <w:p w:rsidR="00C73F6F" w:rsidRPr="00B977CB" w:rsidRDefault="00C73F6F" w:rsidP="00C73F6F">
      <w:pPr>
        <w:numPr>
          <w:ilvl w:val="2"/>
          <w:numId w:val="1"/>
        </w:numPr>
        <w:ind w:left="1276" w:hanging="709"/>
        <w:contextualSpacing/>
        <w:jc w:val="both"/>
        <w:rPr>
          <w:rFonts w:eastAsia="Arial Unicode MS"/>
        </w:rPr>
      </w:pPr>
      <w:r w:rsidRPr="00B977CB">
        <w:rPr>
          <w:rFonts w:eastAsia="Arial Unicode MS"/>
        </w:rPr>
        <w:t>Līgumā paredzētā dokumentācija netiek iesniegta 10 (desmit) dienu laikā pēc noteiktā iesniegšanas termiņa, vai arī, ja Pasūtītāja noteiktajā termiņā Izpildītājs nav izlabojis kļūdas un trūkumus;</w:t>
      </w:r>
    </w:p>
    <w:p w:rsidR="00C73F6F" w:rsidRPr="00B977CB" w:rsidRDefault="00C73F6F" w:rsidP="00C73F6F">
      <w:pPr>
        <w:numPr>
          <w:ilvl w:val="2"/>
          <w:numId w:val="1"/>
        </w:numPr>
        <w:ind w:left="1276" w:hanging="709"/>
        <w:contextualSpacing/>
        <w:jc w:val="both"/>
        <w:rPr>
          <w:rFonts w:eastAsia="Arial Unicode MS"/>
        </w:rPr>
      </w:pPr>
      <w:r w:rsidRPr="00B977CB">
        <w:rPr>
          <w:rFonts w:eastAsia="Arial Unicode MS"/>
        </w:rPr>
        <w:t>Izpildītāja līgumsods sasniedzis 20% (divdesmit procenti) no Līgumcenas;</w:t>
      </w:r>
    </w:p>
    <w:p w:rsidR="00C73F6F" w:rsidRPr="00B977CB" w:rsidRDefault="00C73F6F" w:rsidP="00C73F6F">
      <w:pPr>
        <w:numPr>
          <w:ilvl w:val="2"/>
          <w:numId w:val="1"/>
        </w:numPr>
        <w:ind w:left="1276" w:hanging="709"/>
        <w:contextualSpacing/>
        <w:jc w:val="both"/>
        <w:rPr>
          <w:rFonts w:eastAsia="Arial Unicode MS"/>
        </w:rPr>
      </w:pPr>
      <w:r w:rsidRPr="00B977CB">
        <w:rPr>
          <w:rFonts w:eastAsia="Arial Unicode MS"/>
        </w:rPr>
        <w:t>ir pasludināts Izpildītāja maksātnespējas process, apturēta vai pārtraukta tā saimnieciskā darbība, vai tiek konstatēts, ka līdz līguma izpildes beigu termiņam Izpildītājs būs likvidēts.</w:t>
      </w:r>
    </w:p>
    <w:p w:rsidR="00C73F6F" w:rsidRPr="00B977CB" w:rsidRDefault="00C73F6F" w:rsidP="00C73F6F">
      <w:pPr>
        <w:numPr>
          <w:ilvl w:val="1"/>
          <w:numId w:val="1"/>
        </w:numPr>
        <w:ind w:hanging="574"/>
        <w:jc w:val="both"/>
      </w:pPr>
      <w:r w:rsidRPr="00B977CB">
        <w:t>Abpusēji rakstiski vienojoties, Puses var izbeigt līgumu kāda cita iemesla dēļ.</w:t>
      </w:r>
    </w:p>
    <w:p w:rsidR="00C73F6F" w:rsidRPr="00B977CB" w:rsidRDefault="00C73F6F" w:rsidP="00C73F6F">
      <w:pPr>
        <w:numPr>
          <w:ilvl w:val="1"/>
          <w:numId w:val="1"/>
        </w:numPr>
        <w:ind w:hanging="574"/>
        <w:jc w:val="both"/>
      </w:pPr>
      <w:r w:rsidRPr="00B977CB">
        <w:t xml:space="preserve">Gadījumā, ja kāda no Pusēm konstatē, ka ir iestājies kāds no pamatiem Līguma izbeigšanai, tā </w:t>
      </w:r>
      <w:proofErr w:type="spellStart"/>
      <w:r w:rsidRPr="00B977CB">
        <w:t>nosūta</w:t>
      </w:r>
      <w:proofErr w:type="spellEnd"/>
      <w:r w:rsidRPr="00B977CB">
        <w:t xml:space="preserve"> attiecīgu rakstveida paziņojumu otrai Līguma Pusei, norādot tās izdarītos pārkāpumus un Līguma izbeigšanas kārtību un laiku.</w:t>
      </w:r>
    </w:p>
    <w:p w:rsidR="00C73F6F" w:rsidRPr="00B977CB" w:rsidRDefault="00C73F6F" w:rsidP="00C73F6F">
      <w:pPr>
        <w:tabs>
          <w:tab w:val="num" w:pos="794"/>
        </w:tabs>
        <w:ind w:left="574"/>
        <w:jc w:val="both"/>
      </w:pPr>
    </w:p>
    <w:p w:rsidR="00C73F6F" w:rsidRPr="00B977CB" w:rsidRDefault="00C73F6F" w:rsidP="00C73F6F">
      <w:pPr>
        <w:keepNext/>
        <w:numPr>
          <w:ilvl w:val="0"/>
          <w:numId w:val="1"/>
        </w:numPr>
        <w:jc w:val="both"/>
        <w:outlineLvl w:val="3"/>
        <w:rPr>
          <w:rFonts w:ascii="Times New Roman Bold" w:hAnsi="Times New Roman Bold"/>
          <w:b/>
          <w:bCs/>
        </w:rPr>
      </w:pPr>
      <w:r w:rsidRPr="00B977CB">
        <w:rPr>
          <w:rFonts w:ascii="Times New Roman Bold" w:hAnsi="Times New Roman Bold"/>
          <w:b/>
          <w:bCs/>
        </w:rPr>
        <w:t>Autortiesības</w:t>
      </w:r>
      <w:bookmarkEnd w:id="44"/>
      <w:bookmarkEnd w:id="45"/>
    </w:p>
    <w:p w:rsidR="00C73F6F" w:rsidRPr="00B977CB" w:rsidRDefault="00C73F6F" w:rsidP="00C73F6F">
      <w:pPr>
        <w:numPr>
          <w:ilvl w:val="1"/>
          <w:numId w:val="1"/>
        </w:numPr>
        <w:ind w:left="567" w:hanging="567"/>
        <w:jc w:val="both"/>
      </w:pPr>
      <w:r w:rsidRPr="00B977CB">
        <w:t>Pakalpojuma izpildes rezultātā izstrādātie materiāli ir Pasūtītāja īpašums.</w:t>
      </w:r>
    </w:p>
    <w:p w:rsidR="00C73F6F" w:rsidRPr="00B977CB" w:rsidRDefault="00C73F6F" w:rsidP="00C73F6F">
      <w:pPr>
        <w:numPr>
          <w:ilvl w:val="1"/>
          <w:numId w:val="1"/>
        </w:numPr>
        <w:ind w:left="567" w:hanging="567"/>
        <w:jc w:val="both"/>
      </w:pPr>
      <w:r w:rsidRPr="00B977CB">
        <w:t>Pasūtītājam ir tiesības mainīt, pārstrādāt, dalīt daļās un publicēt Izpildītāja iesniegtos materiālus bez Izpildītāja atļaujas.</w:t>
      </w:r>
    </w:p>
    <w:p w:rsidR="00C73F6F" w:rsidRPr="00B977CB" w:rsidRDefault="00C73F6F" w:rsidP="00C73F6F">
      <w:pPr>
        <w:tabs>
          <w:tab w:val="num" w:pos="794"/>
        </w:tabs>
        <w:ind w:left="567"/>
        <w:jc w:val="both"/>
      </w:pPr>
    </w:p>
    <w:p w:rsidR="00C73F6F" w:rsidRPr="00B977CB" w:rsidRDefault="00C73F6F" w:rsidP="00C73F6F">
      <w:pPr>
        <w:keepNext/>
        <w:numPr>
          <w:ilvl w:val="0"/>
          <w:numId w:val="1"/>
        </w:numPr>
        <w:jc w:val="both"/>
        <w:outlineLvl w:val="3"/>
        <w:rPr>
          <w:rFonts w:ascii="Times New Roman Bold" w:hAnsi="Times New Roman Bold"/>
          <w:b/>
          <w:bCs/>
        </w:rPr>
      </w:pPr>
      <w:r w:rsidRPr="00B977CB">
        <w:rPr>
          <w:rFonts w:ascii="Times New Roman Bold" w:hAnsi="Times New Roman Bold"/>
          <w:b/>
          <w:bCs/>
        </w:rPr>
        <w:t>Nepārvaramas varas apstākļi</w:t>
      </w:r>
    </w:p>
    <w:p w:rsidR="00C73F6F" w:rsidRPr="00B977CB" w:rsidRDefault="00C73F6F" w:rsidP="00C73F6F">
      <w:pPr>
        <w:widowControl w:val="0"/>
        <w:numPr>
          <w:ilvl w:val="1"/>
          <w:numId w:val="1"/>
        </w:numPr>
        <w:overflowPunct w:val="0"/>
        <w:autoSpaceDE w:val="0"/>
        <w:autoSpaceDN w:val="0"/>
        <w:adjustRightInd w:val="0"/>
        <w:ind w:left="567" w:hanging="567"/>
        <w:jc w:val="both"/>
      </w:pPr>
      <w:bookmarkStart w:id="46" w:name="_Toc23233720"/>
      <w:bookmarkStart w:id="47" w:name="_Toc99858920"/>
      <w:bookmarkStart w:id="48" w:name="_Toc154971723"/>
      <w:bookmarkStart w:id="49" w:name="_Toc164646948"/>
      <w:bookmarkStart w:id="50" w:name="_Toc251922219"/>
      <w:bookmarkStart w:id="51" w:name="_Toc251923494"/>
      <w:bookmarkStart w:id="52" w:name="_Toc251928435"/>
      <w:bookmarkStart w:id="53" w:name="_Toc252192314"/>
      <w:bookmarkStart w:id="54" w:name="_Toc252867908"/>
      <w:bookmarkEnd w:id="31"/>
      <w:bookmarkEnd w:id="33"/>
      <w:bookmarkEnd w:id="34"/>
      <w:bookmarkEnd w:id="35"/>
      <w:bookmarkEnd w:id="36"/>
      <w:bookmarkEnd w:id="37"/>
      <w:bookmarkEnd w:id="38"/>
      <w:bookmarkEnd w:id="39"/>
      <w:r w:rsidRPr="00B977CB">
        <w:t xml:space="preserve">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w:t>
      </w:r>
    </w:p>
    <w:p w:rsidR="00C73F6F" w:rsidRPr="00B977CB" w:rsidRDefault="00C73F6F" w:rsidP="00C73F6F">
      <w:pPr>
        <w:widowControl w:val="0"/>
        <w:numPr>
          <w:ilvl w:val="1"/>
          <w:numId w:val="1"/>
        </w:numPr>
        <w:overflowPunct w:val="0"/>
        <w:autoSpaceDE w:val="0"/>
        <w:autoSpaceDN w:val="0"/>
        <w:adjustRightInd w:val="0"/>
        <w:ind w:left="567" w:hanging="567"/>
        <w:jc w:val="both"/>
      </w:pPr>
      <w:r w:rsidRPr="00B977CB">
        <w:t>Pie nepārvaramas varas vai ārkārtēja rakstura apstākļiem pieskaitāmi: stihiskas nelaimes, avārijas, katastrofas, epidēmijas un kara darbība, streiki, iekšējie nemieri, blokādes, varas un pārvaldes institūciju rīcība, normatīvo aktu, kas būtiski ierobežo un aizskar Puses tiesības un ietekmē uzņemtās saistības, pieņemšana un stāšanās spēkā.</w:t>
      </w:r>
    </w:p>
    <w:p w:rsidR="00C73F6F" w:rsidRPr="00B977CB" w:rsidRDefault="00C73F6F" w:rsidP="00C73F6F">
      <w:pPr>
        <w:widowControl w:val="0"/>
        <w:numPr>
          <w:ilvl w:val="1"/>
          <w:numId w:val="1"/>
        </w:numPr>
        <w:overflowPunct w:val="0"/>
        <w:autoSpaceDE w:val="0"/>
        <w:autoSpaceDN w:val="0"/>
        <w:adjustRightInd w:val="0"/>
        <w:ind w:left="567" w:hanging="567"/>
        <w:jc w:val="both"/>
      </w:pPr>
      <w:r w:rsidRPr="00B977CB">
        <w:t xml:space="preserve">Pusēm, kas atsaucas uz nepārvaramas varas vai ārkārtēja rakstura apstākļu darbību, </w:t>
      </w:r>
      <w:r w:rsidRPr="00B977CB">
        <w:lastRenderedPageBreak/>
        <w:t xml:space="preserve">nekavējoties, bet ne vēlāk kā 3 (trīs) darbdienu laikā par šādiem apstākļiem </w:t>
      </w:r>
      <w:proofErr w:type="spellStart"/>
      <w:r w:rsidRPr="00B977CB">
        <w:t>rakstveidā</w:t>
      </w:r>
      <w:proofErr w:type="spellEnd"/>
      <w:r w:rsidRPr="00B977CB">
        <w:t xml:space="preserve"> jāziņo otrai Pusei. Ziņojumā jānorāda, kādā termiņā būs iespējama un paredzama viņa Līgumā paredzēto saistību izpilde, un, pēc pieprasījuma, šādam ziņojumam ir jāpievieno </w:t>
      </w:r>
      <w:smartTag w:uri="schemas-tilde-lv/tildestengine" w:element="veidnes">
        <w:smartTagPr>
          <w:attr w:name="id" w:val="-1"/>
          <w:attr w:name="baseform" w:val="izzi￲a"/>
          <w:attr w:name="text" w:val="izziņa"/>
        </w:smartTagPr>
        <w:r w:rsidRPr="00B977CB">
          <w:t>izziņa</w:t>
        </w:r>
      </w:smartTag>
      <w:r w:rsidRPr="00B977CB">
        <w:t xml:space="preserve">, kuru izsniegusi kompetenta institūcija un kura satur ārkārtējo apstākļu darbības apstiprinājumu un to raksturojumu. </w:t>
      </w:r>
    </w:p>
    <w:p w:rsidR="00C73F6F" w:rsidRPr="00B977CB" w:rsidRDefault="00C73F6F" w:rsidP="00C73F6F">
      <w:pPr>
        <w:widowControl w:val="0"/>
        <w:numPr>
          <w:ilvl w:val="1"/>
          <w:numId w:val="1"/>
        </w:numPr>
        <w:overflowPunct w:val="0"/>
        <w:autoSpaceDE w:val="0"/>
        <w:autoSpaceDN w:val="0"/>
        <w:adjustRightInd w:val="0"/>
        <w:ind w:left="567" w:hanging="567"/>
        <w:jc w:val="both"/>
      </w:pPr>
      <w:r w:rsidRPr="00B977CB">
        <w:t>Nesavlaicīga paziņojuma gadījumā Puse netiek atbrīvota no Līguma saistību izpildes, ja vien tam par iemeslu nav bijuši paši nepārvaramas varas vai ārkārtēja rakstura apstākļi.</w:t>
      </w:r>
    </w:p>
    <w:p w:rsidR="00C73F6F" w:rsidRPr="00B977CB" w:rsidRDefault="00C73F6F" w:rsidP="00C73F6F">
      <w:pPr>
        <w:widowControl w:val="0"/>
        <w:numPr>
          <w:ilvl w:val="1"/>
          <w:numId w:val="1"/>
        </w:numPr>
        <w:overflowPunct w:val="0"/>
        <w:autoSpaceDE w:val="0"/>
        <w:autoSpaceDN w:val="0"/>
        <w:adjustRightInd w:val="0"/>
        <w:ind w:left="567" w:hanging="567"/>
        <w:jc w:val="both"/>
      </w:pPr>
      <w:r w:rsidRPr="00B977CB">
        <w:t>Nepārvaramas varas vai ārkārtēja rakstura apstākļu iestāšanās gadījumā Līguma darbības termiņš tiek pārcelts atbilstoši šādu apstākļu darbības laikam vai arī Puses vienojas par Līguma pārtraukšanu.</w:t>
      </w:r>
    </w:p>
    <w:p w:rsidR="00C73F6F" w:rsidRPr="00B977CB" w:rsidRDefault="00C73F6F" w:rsidP="00C73F6F">
      <w:pPr>
        <w:widowControl w:val="0"/>
        <w:overflowPunct w:val="0"/>
        <w:autoSpaceDE w:val="0"/>
        <w:autoSpaceDN w:val="0"/>
        <w:adjustRightInd w:val="0"/>
        <w:ind w:left="567"/>
        <w:jc w:val="both"/>
      </w:pPr>
    </w:p>
    <w:p w:rsidR="00C73F6F" w:rsidRPr="00B977CB" w:rsidRDefault="00C73F6F" w:rsidP="00C73F6F">
      <w:pPr>
        <w:keepNext/>
        <w:numPr>
          <w:ilvl w:val="0"/>
          <w:numId w:val="1"/>
        </w:numPr>
        <w:jc w:val="both"/>
        <w:outlineLvl w:val="3"/>
        <w:rPr>
          <w:rFonts w:ascii="Times New Roman Bold" w:hAnsi="Times New Roman Bold"/>
          <w:b/>
          <w:bCs/>
        </w:rPr>
      </w:pPr>
      <w:bookmarkStart w:id="55" w:name="_Toc23233721"/>
      <w:bookmarkStart w:id="56" w:name="_Toc99858921"/>
      <w:bookmarkStart w:id="57" w:name="_Toc154971724"/>
      <w:bookmarkStart w:id="58" w:name="_Toc164646949"/>
      <w:bookmarkStart w:id="59" w:name="_Toc251922220"/>
      <w:bookmarkStart w:id="60" w:name="_Toc251923495"/>
      <w:bookmarkStart w:id="61" w:name="_Toc251928436"/>
      <w:bookmarkStart w:id="62" w:name="_Toc252192315"/>
      <w:bookmarkStart w:id="63" w:name="_Toc252867909"/>
      <w:bookmarkEnd w:id="46"/>
      <w:bookmarkEnd w:id="47"/>
      <w:bookmarkEnd w:id="48"/>
      <w:bookmarkEnd w:id="49"/>
      <w:bookmarkEnd w:id="50"/>
      <w:bookmarkEnd w:id="51"/>
      <w:bookmarkEnd w:id="52"/>
      <w:bookmarkEnd w:id="53"/>
      <w:bookmarkEnd w:id="54"/>
      <w:r w:rsidRPr="00B977CB">
        <w:rPr>
          <w:rFonts w:ascii="Times New Roman Bold" w:hAnsi="Times New Roman Bold"/>
          <w:b/>
          <w:bCs/>
        </w:rPr>
        <w:t>Citi noteikumi</w:t>
      </w:r>
    </w:p>
    <w:p w:rsidR="00C73F6F" w:rsidRPr="00B977CB" w:rsidRDefault="00C73F6F" w:rsidP="00C73F6F">
      <w:pPr>
        <w:numPr>
          <w:ilvl w:val="1"/>
          <w:numId w:val="1"/>
        </w:numPr>
        <w:tabs>
          <w:tab w:val="left" w:pos="709"/>
        </w:tabs>
        <w:ind w:hanging="574"/>
        <w:jc w:val="both"/>
      </w:pPr>
      <w:r w:rsidRPr="00B977CB">
        <w:t>Visos jautājumos, kas nav noregulēti šajā Līgumā, Puses vadās no Iepirkuma instrukcijas prasībām, Izpildītāja piedāvājuma un spēkā esošajiem normatīvajiem aktiem.</w:t>
      </w:r>
    </w:p>
    <w:p w:rsidR="00C73F6F" w:rsidRPr="00B977CB" w:rsidRDefault="00C73F6F" w:rsidP="00C73F6F">
      <w:pPr>
        <w:numPr>
          <w:ilvl w:val="1"/>
          <w:numId w:val="1"/>
        </w:numPr>
        <w:tabs>
          <w:tab w:val="left" w:pos="709"/>
        </w:tabs>
        <w:ind w:hanging="574"/>
        <w:jc w:val="both"/>
        <w:rPr>
          <w:bCs/>
        </w:rPr>
      </w:pPr>
      <w:r w:rsidRPr="00B977CB">
        <w:rPr>
          <w:bCs/>
        </w:rPr>
        <w:t>Visi strīdi starp Pusēm risināmi pārrunu ceļā, bet, ja tas nav iespējams, Latvijas Republikas tiesā.</w:t>
      </w:r>
    </w:p>
    <w:p w:rsidR="00C73F6F" w:rsidRPr="00B977CB" w:rsidRDefault="00C73F6F" w:rsidP="00C73F6F">
      <w:pPr>
        <w:numPr>
          <w:ilvl w:val="1"/>
          <w:numId w:val="1"/>
        </w:numPr>
        <w:tabs>
          <w:tab w:val="left" w:pos="709"/>
        </w:tabs>
        <w:ind w:hanging="574"/>
        <w:jc w:val="both"/>
      </w:pPr>
      <w:r w:rsidRPr="00B977CB">
        <w:t>Līgums ir saistošs Pušu tiesību un saistību pārņēmējiem.</w:t>
      </w:r>
    </w:p>
    <w:p w:rsidR="00C73F6F" w:rsidRPr="00B977CB" w:rsidRDefault="00C73F6F" w:rsidP="00C73F6F">
      <w:pPr>
        <w:numPr>
          <w:ilvl w:val="1"/>
          <w:numId w:val="1"/>
        </w:numPr>
        <w:tabs>
          <w:tab w:val="left" w:pos="709"/>
        </w:tabs>
        <w:ind w:hanging="574"/>
        <w:jc w:val="both"/>
      </w:pPr>
      <w:r w:rsidRPr="00B977CB">
        <w:t>Puses apņemas neveikt nekādas darbības, kas tieši vai netieši var radīt zaudējumus otrai Pusei, vai kaitēt otra Puses interesēm.</w:t>
      </w:r>
    </w:p>
    <w:p w:rsidR="00C73F6F" w:rsidRPr="00B977CB" w:rsidRDefault="00C73F6F" w:rsidP="00C73F6F">
      <w:pPr>
        <w:numPr>
          <w:ilvl w:val="1"/>
          <w:numId w:val="1"/>
        </w:numPr>
        <w:tabs>
          <w:tab w:val="left" w:pos="709"/>
        </w:tabs>
        <w:ind w:hanging="574"/>
        <w:jc w:val="both"/>
      </w:pPr>
      <w:r w:rsidRPr="00B977CB">
        <w:t>Līgumā izveidotais noteikumu sadalījums pa sadaļām ar tām piešķirtajiem nosaukumiem ir izmantojams tikai un vienīgi atsaucēm un nekādā gadījumā nevar tikt izmantots vai ietekmēt Līguma noteikumu tulkošanu.</w:t>
      </w:r>
    </w:p>
    <w:p w:rsidR="00C73F6F" w:rsidRPr="00B977CB" w:rsidRDefault="00C73F6F" w:rsidP="00C73F6F">
      <w:pPr>
        <w:pStyle w:val="ListParagraph"/>
        <w:numPr>
          <w:ilvl w:val="1"/>
          <w:numId w:val="1"/>
        </w:numPr>
        <w:ind w:hanging="574"/>
      </w:pPr>
      <w:r w:rsidRPr="00B977CB">
        <w:t>Izpildītājs ir informēts, ka Pasūtītājs ir ieviesis un darbojas saskaņā ar Kvalitātes pārvaldības sistēmas ISO standarta 9001 un Vides pārvaldības sistēmas ISO standarta 14001 nosacījumiem, nodrošinot kvalitatīvus pakalpojumus, sekmējot dabas resursu ilgtspējīgu izmantošanu, veicinot videi draudzīgu un modernu tehnoloģiju izmantošanu.</w:t>
      </w:r>
    </w:p>
    <w:p w:rsidR="00C73F6F" w:rsidRPr="00B977CB" w:rsidRDefault="00C73F6F" w:rsidP="00C73F6F">
      <w:pPr>
        <w:numPr>
          <w:ilvl w:val="1"/>
          <w:numId w:val="1"/>
        </w:numPr>
        <w:tabs>
          <w:tab w:val="left" w:pos="709"/>
        </w:tabs>
        <w:ind w:hanging="574"/>
        <w:jc w:val="both"/>
      </w:pPr>
      <w:r w:rsidRPr="00B977CB">
        <w:t>Jebkāda ar šo Līgumu saistīta un jebkurā formā pieejama informācija vai citāda veida dati, tai skaitā Izpildītāja sagatavotie materiāli, pieder Pasūtītājam un ir tā īpašums un ir izmantojama vienīgi Līguma nosacījumu izpildei. Tās izmantošana citiem mērķiem ir iespējama vienīgi ar Pasūtītāja rakstisku piekrišanu par katru gadījumu atsevišķi. Izpildītājam nav tiesību jebkādā veidā ierobežot Pasūtītāja tiesības brīvi un pēc saviem ieskatiem rīkoties ar to.</w:t>
      </w:r>
    </w:p>
    <w:p w:rsidR="00C73F6F" w:rsidRPr="00B977CB" w:rsidRDefault="00C73F6F" w:rsidP="00C73F6F">
      <w:pPr>
        <w:numPr>
          <w:ilvl w:val="1"/>
          <w:numId w:val="1"/>
        </w:numPr>
        <w:tabs>
          <w:tab w:val="left" w:pos="709"/>
        </w:tabs>
        <w:ind w:hanging="574"/>
        <w:jc w:val="both"/>
      </w:pPr>
      <w:r w:rsidRPr="00B977CB">
        <w:t xml:space="preserve"> Puses savstarpēji ir atbildīgas par otrai Pusei nodarītajiem zaudējumiem, ja tie radušies vienas Puses vai tās darbinieku, kā arī šīs Puses līguma izpildē iesaistīto trešo personu darbības vai bezdarbības, tai skaitā rupjas neuzmanības, ļaunā nolūkā izdarīto darbību vai nolaidības rezultātā.</w:t>
      </w:r>
    </w:p>
    <w:p w:rsidR="00C73F6F" w:rsidRPr="00B977CB" w:rsidRDefault="00C73F6F" w:rsidP="00C73F6F">
      <w:pPr>
        <w:widowControl w:val="0"/>
        <w:numPr>
          <w:ilvl w:val="1"/>
          <w:numId w:val="1"/>
        </w:numPr>
        <w:tabs>
          <w:tab w:val="left" w:pos="1980"/>
        </w:tabs>
        <w:overflowPunct w:val="0"/>
        <w:autoSpaceDE w:val="0"/>
        <w:autoSpaceDN w:val="0"/>
        <w:adjustRightInd w:val="0"/>
        <w:ind w:hanging="574"/>
        <w:jc w:val="both"/>
      </w:pPr>
      <w:r w:rsidRPr="00B977CB">
        <w:t>Pasūtītājs pirms būvdarbu uzsākšanas Pulkveža Oskara Kalpaka ielā 34A, Jelgavā, atbilstoši Izpildītāja izstrādātajam būvprojektam ’’Sporta stadiona pārbūve Pulkveža Oskara Kalpaka ielā 34A”, uzaicina Izpildītāju noslēgt pakalpojuma līgumu par sporta stadiona, Pulkveža Oskara Kalpaka ielā 34A, Jelgavā pārbūves būvdarbu autoruzraudzību.</w:t>
      </w:r>
    </w:p>
    <w:p w:rsidR="00C73F6F" w:rsidRPr="00B977CB" w:rsidRDefault="00C73F6F" w:rsidP="00C73F6F">
      <w:pPr>
        <w:widowControl w:val="0"/>
        <w:numPr>
          <w:ilvl w:val="1"/>
          <w:numId w:val="1"/>
        </w:numPr>
        <w:tabs>
          <w:tab w:val="left" w:pos="1980"/>
        </w:tabs>
        <w:overflowPunct w:val="0"/>
        <w:autoSpaceDE w:val="0"/>
        <w:autoSpaceDN w:val="0"/>
        <w:adjustRightInd w:val="0"/>
        <w:ind w:hanging="574"/>
        <w:jc w:val="both"/>
      </w:pPr>
      <w:r w:rsidRPr="00B977CB">
        <w:t>10 (desmit) darba dienu laikā no Pasūtītāja uzaicinājuma nosūtīšanas dienas, Izpildītājs atbilstoši Iepirkuma rezultātiem noslēdz ar Pasūtītāju pakalpojuma līgumu par sporta stadiona, Pulkveža Oskara Kalpaka ielā 34A, Jelgavā pārbūves būvdarbu autoruzraudzību.</w:t>
      </w:r>
    </w:p>
    <w:p w:rsidR="00C73F6F" w:rsidRPr="00B977CB" w:rsidRDefault="00C73F6F" w:rsidP="00C73F6F">
      <w:pPr>
        <w:numPr>
          <w:ilvl w:val="1"/>
          <w:numId w:val="1"/>
        </w:numPr>
        <w:tabs>
          <w:tab w:val="left" w:pos="709"/>
        </w:tabs>
        <w:ind w:hanging="574"/>
        <w:jc w:val="both"/>
      </w:pPr>
      <w:r w:rsidRPr="00B977CB">
        <w:t xml:space="preserve"> Visus ar Līgumu saistītos Pušu savstarpējos paziņojumus </w:t>
      </w:r>
      <w:proofErr w:type="spellStart"/>
      <w:r w:rsidRPr="00B977CB">
        <w:t>nosūta</w:t>
      </w:r>
      <w:proofErr w:type="spellEnd"/>
      <w:r w:rsidRPr="00B977CB">
        <w:t xml:space="preserve"> rakstiski uz Līgumā norādīto adresi vai citu adresi, ko viena Puse ir paziņojusi otrai Pusei. Steidzamības gadījumos paziņojumus </w:t>
      </w:r>
      <w:proofErr w:type="spellStart"/>
      <w:r w:rsidRPr="00B977CB">
        <w:t>jānosūta</w:t>
      </w:r>
      <w:proofErr w:type="spellEnd"/>
      <w:r w:rsidRPr="00B977CB">
        <w:t xml:space="preserve"> arī pa faksu vai e-pastu.</w:t>
      </w:r>
    </w:p>
    <w:p w:rsidR="00C73F6F" w:rsidRPr="00B977CB" w:rsidRDefault="00C73F6F" w:rsidP="00C73F6F">
      <w:pPr>
        <w:numPr>
          <w:ilvl w:val="1"/>
          <w:numId w:val="1"/>
        </w:numPr>
        <w:tabs>
          <w:tab w:val="left" w:pos="709"/>
        </w:tabs>
        <w:ind w:hanging="574"/>
        <w:jc w:val="both"/>
      </w:pPr>
      <w:r w:rsidRPr="00B977CB">
        <w:t>Visi Līguma grozījumi un papildinājumi ir spēkā tikai tādā gadījumā, ja tie noformēti rakstiski un tos ir parakstījušas abas Puses.</w:t>
      </w:r>
    </w:p>
    <w:p w:rsidR="00C73F6F" w:rsidRDefault="00C73F6F" w:rsidP="00C73F6F">
      <w:pPr>
        <w:widowControl w:val="0"/>
        <w:numPr>
          <w:ilvl w:val="1"/>
          <w:numId w:val="1"/>
        </w:numPr>
        <w:tabs>
          <w:tab w:val="left" w:pos="1980"/>
        </w:tabs>
        <w:overflowPunct w:val="0"/>
        <w:autoSpaceDE w:val="0"/>
        <w:autoSpaceDN w:val="0"/>
        <w:adjustRightInd w:val="0"/>
        <w:ind w:hanging="574"/>
        <w:jc w:val="both"/>
      </w:pPr>
      <w:r w:rsidRPr="00B977CB">
        <w:t xml:space="preserve">Pasūtītāja pilnvarotais pārstāvis Līguma izpildes laikā ir </w:t>
      </w:r>
      <w:r w:rsidRPr="00C73F6F">
        <w:t xml:space="preserve">Attīstības un pilsētplānošanas pārvaldes Teritorijas plānošanas sektora Būvinženieri  Mārtiņu </w:t>
      </w:r>
      <w:proofErr w:type="spellStart"/>
      <w:r w:rsidRPr="00C73F6F">
        <w:t>Poci</w:t>
      </w:r>
      <w:proofErr w:type="spellEnd"/>
      <w:r w:rsidRPr="00C73F6F">
        <w:t xml:space="preserve">, tālrunis 63005582, </w:t>
      </w:r>
      <w:r w:rsidRPr="00C73F6F">
        <w:lastRenderedPageBreak/>
        <w:t xml:space="preserve">e-pasts: </w:t>
      </w:r>
      <w:hyperlink r:id="rId5" w:history="1">
        <w:r w:rsidRPr="00C73F6F">
          <w:rPr>
            <w:rStyle w:val="Hyperlink"/>
          </w:rPr>
          <w:t>martins.pocis@dome.jelgava.lv</w:t>
        </w:r>
      </w:hyperlink>
      <w:r w:rsidRPr="00C73F6F">
        <w:t>.</w:t>
      </w:r>
    </w:p>
    <w:p w:rsidR="00EA4E23" w:rsidRPr="00EA4E23" w:rsidRDefault="00C73F6F" w:rsidP="00EA4E23">
      <w:pPr>
        <w:widowControl w:val="0"/>
        <w:numPr>
          <w:ilvl w:val="1"/>
          <w:numId w:val="1"/>
        </w:numPr>
        <w:tabs>
          <w:tab w:val="left" w:pos="1980"/>
        </w:tabs>
        <w:overflowPunct w:val="0"/>
        <w:autoSpaceDE w:val="0"/>
        <w:autoSpaceDN w:val="0"/>
        <w:adjustRightInd w:val="0"/>
        <w:ind w:hanging="574"/>
        <w:jc w:val="both"/>
      </w:pPr>
      <w:r w:rsidRPr="00EA4E23">
        <w:t>I</w:t>
      </w:r>
      <w:r w:rsidRPr="00B977CB">
        <w:t xml:space="preserve">zpildītāja pilnvarotais pārstāvis Līguma izpildes laikā ir </w:t>
      </w:r>
      <w:r w:rsidR="00EA4E23" w:rsidRPr="00EA4E23">
        <w:t>Didzis Dāle</w:t>
      </w:r>
      <w:r w:rsidRPr="00EA4E23">
        <w:rPr>
          <w:i/>
        </w:rPr>
        <w:t xml:space="preserve">, </w:t>
      </w:r>
      <w:r w:rsidRPr="00EA4E23">
        <w:t xml:space="preserve">tālrunis: </w:t>
      </w:r>
      <w:r w:rsidR="00EA4E23">
        <w:t>26191009</w:t>
      </w:r>
      <w:r w:rsidRPr="00EA4E23">
        <w:t>,</w:t>
      </w:r>
      <w:r w:rsidRPr="00EA4E23">
        <w:rPr>
          <w:b/>
        </w:rPr>
        <w:t xml:space="preserve"> </w:t>
      </w:r>
      <w:r w:rsidRPr="00EA4E23">
        <w:t>e-pasts</w:t>
      </w:r>
      <w:r w:rsidR="00EA4E23">
        <w:t xml:space="preserve">: </w:t>
      </w:r>
      <w:r w:rsidR="00EA4E23" w:rsidRPr="00EA4E23">
        <w:t>didzis@bm-projekts.lv</w:t>
      </w:r>
      <w:r w:rsidR="00EA4E23">
        <w:t>;</w:t>
      </w:r>
    </w:p>
    <w:p w:rsidR="00C73F6F" w:rsidRPr="00B977CB" w:rsidRDefault="00C73F6F" w:rsidP="00C73F6F">
      <w:pPr>
        <w:widowControl w:val="0"/>
        <w:numPr>
          <w:ilvl w:val="1"/>
          <w:numId w:val="1"/>
        </w:numPr>
        <w:tabs>
          <w:tab w:val="left" w:pos="1980"/>
        </w:tabs>
        <w:overflowPunct w:val="0"/>
        <w:autoSpaceDE w:val="0"/>
        <w:autoSpaceDN w:val="0"/>
        <w:adjustRightInd w:val="0"/>
        <w:ind w:hanging="574"/>
        <w:jc w:val="both"/>
      </w:pPr>
      <w:r w:rsidRPr="00B977CB">
        <w:t xml:space="preserve">Pušu pilnvarotie pārstāvji ir atbildīgi par Līguma izpildes uzraudzīšanu, tai skaitā, par Pakalpojuma pieņemšanas – nodošanas akta parakstīšanu atbilstoši Līguma prasībām, defekta akta parakstīšanu. </w:t>
      </w:r>
    </w:p>
    <w:p w:rsidR="00C73F6F" w:rsidRPr="00B977CB" w:rsidRDefault="00C73F6F" w:rsidP="00C73F6F">
      <w:pPr>
        <w:numPr>
          <w:ilvl w:val="1"/>
          <w:numId w:val="1"/>
        </w:numPr>
        <w:tabs>
          <w:tab w:val="left" w:pos="709"/>
        </w:tabs>
        <w:ind w:hanging="574"/>
        <w:jc w:val="both"/>
      </w:pPr>
      <w:r w:rsidRPr="00B977CB">
        <w:t>Līgums sast</w:t>
      </w:r>
      <w:r w:rsidRPr="00EA4E23">
        <w:t>ā</w:t>
      </w:r>
      <w:r w:rsidRPr="00B977CB">
        <w:t>dīts uz 6 (sešām) lapām, divos eksemplāros ar vienādu juridisko spēku, no kuriem viens glabājas pie Pasūtītāja, bet otrs pie Izpildītāja.</w:t>
      </w:r>
    </w:p>
    <w:p w:rsidR="00C73F6F" w:rsidRPr="00B977CB" w:rsidRDefault="00C73F6F" w:rsidP="00C73F6F">
      <w:pPr>
        <w:numPr>
          <w:ilvl w:val="1"/>
          <w:numId w:val="1"/>
        </w:numPr>
        <w:tabs>
          <w:tab w:val="left" w:pos="709"/>
        </w:tabs>
        <w:ind w:hanging="574"/>
        <w:jc w:val="both"/>
      </w:pPr>
      <w:r w:rsidRPr="00B977CB">
        <w:t>Līgums satur šādus pielikumus, kas ir Līguma neatņemamas sastāvdaļas un nav iekļautas Līguma 14.16.punktā norādītajā lapu skaitā:</w:t>
      </w:r>
    </w:p>
    <w:p w:rsidR="00C73F6F" w:rsidRPr="00B977CB" w:rsidRDefault="00C73F6F" w:rsidP="00C73F6F">
      <w:pPr>
        <w:numPr>
          <w:ilvl w:val="2"/>
          <w:numId w:val="1"/>
        </w:numPr>
        <w:tabs>
          <w:tab w:val="left" w:pos="1418"/>
        </w:tabs>
        <w:ind w:left="1214" w:hanging="657"/>
        <w:jc w:val="both"/>
      </w:pPr>
      <w:r w:rsidRPr="00B977CB">
        <w:t xml:space="preserve">1.pielikums – Tehniskā specifikācija uz </w:t>
      </w:r>
      <w:r w:rsidR="00555270">
        <w:t>4</w:t>
      </w:r>
      <w:r w:rsidRPr="00B977CB">
        <w:t xml:space="preserve"> lapām;</w:t>
      </w:r>
    </w:p>
    <w:p w:rsidR="00C73F6F" w:rsidRPr="00B977CB" w:rsidRDefault="00C73F6F" w:rsidP="00C73F6F">
      <w:pPr>
        <w:numPr>
          <w:ilvl w:val="2"/>
          <w:numId w:val="1"/>
        </w:numPr>
        <w:tabs>
          <w:tab w:val="left" w:pos="1418"/>
        </w:tabs>
        <w:ind w:left="1214" w:hanging="657"/>
        <w:jc w:val="both"/>
      </w:pPr>
      <w:r w:rsidRPr="00B977CB">
        <w:t xml:space="preserve">2.pielikums – Izpildītāja piedāvājums uz </w:t>
      </w:r>
      <w:r w:rsidR="00864EF3">
        <w:t>14</w:t>
      </w:r>
      <w:r w:rsidRPr="00B977CB">
        <w:t xml:space="preserve"> lapām.</w:t>
      </w:r>
    </w:p>
    <w:bookmarkEnd w:id="55"/>
    <w:bookmarkEnd w:id="56"/>
    <w:bookmarkEnd w:id="57"/>
    <w:bookmarkEnd w:id="58"/>
    <w:bookmarkEnd w:id="59"/>
    <w:bookmarkEnd w:id="60"/>
    <w:bookmarkEnd w:id="61"/>
    <w:bookmarkEnd w:id="62"/>
    <w:bookmarkEnd w:id="63"/>
    <w:p w:rsidR="00C73F6F" w:rsidRPr="00B977CB" w:rsidRDefault="00C73F6F" w:rsidP="00C73F6F">
      <w:pPr>
        <w:widowControl w:val="0"/>
        <w:tabs>
          <w:tab w:val="num" w:pos="360"/>
        </w:tabs>
        <w:jc w:val="both"/>
        <w:outlineLvl w:val="1"/>
        <w:rPr>
          <w:b/>
        </w:rPr>
      </w:pPr>
    </w:p>
    <w:p w:rsidR="00C73F6F" w:rsidRPr="00B977CB" w:rsidRDefault="00C73F6F" w:rsidP="00C73F6F">
      <w:pPr>
        <w:widowControl w:val="0"/>
        <w:tabs>
          <w:tab w:val="num" w:pos="360"/>
        </w:tabs>
        <w:jc w:val="both"/>
        <w:outlineLvl w:val="1"/>
        <w:rPr>
          <w:b/>
        </w:rPr>
      </w:pPr>
    </w:p>
    <w:p w:rsidR="00C73F6F" w:rsidRPr="00B977CB" w:rsidRDefault="00C73F6F" w:rsidP="00C73F6F">
      <w:pPr>
        <w:widowControl w:val="0"/>
        <w:tabs>
          <w:tab w:val="num" w:pos="360"/>
        </w:tabs>
        <w:ind w:left="360" w:hanging="360"/>
        <w:jc w:val="both"/>
        <w:outlineLvl w:val="1"/>
        <w:rPr>
          <w:b/>
        </w:rPr>
      </w:pPr>
      <w:r w:rsidRPr="00B977CB">
        <w:rPr>
          <w:b/>
        </w:rPr>
        <w:t>Pušu rekvizīti un paraksti:</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430"/>
        <w:gridCol w:w="3533"/>
      </w:tblGrid>
      <w:tr w:rsidR="00C73F6F" w:rsidRPr="00B977CB" w:rsidTr="0047171B">
        <w:trPr>
          <w:trHeight w:val="322"/>
        </w:trPr>
        <w:tc>
          <w:tcPr>
            <w:tcW w:w="2127" w:type="dxa"/>
          </w:tcPr>
          <w:p w:rsidR="00C73F6F" w:rsidRPr="00B977CB" w:rsidRDefault="00C73F6F" w:rsidP="0047171B"/>
        </w:tc>
        <w:tc>
          <w:tcPr>
            <w:tcW w:w="3430" w:type="dxa"/>
          </w:tcPr>
          <w:p w:rsidR="00C73F6F" w:rsidRPr="00B977CB" w:rsidRDefault="00C73F6F" w:rsidP="0047171B">
            <w:pPr>
              <w:rPr>
                <w:b/>
                <w:bCs/>
              </w:rPr>
            </w:pPr>
            <w:r w:rsidRPr="00B977CB">
              <w:rPr>
                <w:b/>
                <w:bCs/>
              </w:rPr>
              <w:t>Pasūtītājs</w:t>
            </w:r>
          </w:p>
        </w:tc>
        <w:tc>
          <w:tcPr>
            <w:tcW w:w="3533" w:type="dxa"/>
          </w:tcPr>
          <w:p w:rsidR="00C73F6F" w:rsidRPr="00B977CB" w:rsidRDefault="00C73F6F" w:rsidP="0047171B">
            <w:pPr>
              <w:rPr>
                <w:b/>
                <w:bCs/>
              </w:rPr>
            </w:pPr>
            <w:r w:rsidRPr="00B977CB">
              <w:rPr>
                <w:b/>
                <w:bCs/>
              </w:rPr>
              <w:t>Izpildītājs</w:t>
            </w:r>
          </w:p>
        </w:tc>
      </w:tr>
      <w:tr w:rsidR="00C73F6F" w:rsidRPr="00B977CB" w:rsidTr="0047171B">
        <w:tc>
          <w:tcPr>
            <w:tcW w:w="2127" w:type="dxa"/>
          </w:tcPr>
          <w:p w:rsidR="00C73F6F" w:rsidRPr="00B977CB" w:rsidRDefault="00C73F6F" w:rsidP="0047171B">
            <w:pPr>
              <w:jc w:val="both"/>
            </w:pPr>
          </w:p>
        </w:tc>
        <w:tc>
          <w:tcPr>
            <w:tcW w:w="3430" w:type="dxa"/>
          </w:tcPr>
          <w:p w:rsidR="00C73F6F" w:rsidRPr="00B977CB" w:rsidRDefault="00C73F6F" w:rsidP="0047171B">
            <w:pPr>
              <w:jc w:val="both"/>
              <w:rPr>
                <w:b/>
                <w:strike/>
              </w:rPr>
            </w:pPr>
            <w:r w:rsidRPr="00B977CB">
              <w:rPr>
                <w:b/>
              </w:rPr>
              <w:t xml:space="preserve">Jelgavas pilsētas dome </w:t>
            </w:r>
          </w:p>
        </w:tc>
        <w:tc>
          <w:tcPr>
            <w:tcW w:w="3533" w:type="dxa"/>
          </w:tcPr>
          <w:p w:rsidR="00C73F6F" w:rsidRPr="00850786" w:rsidRDefault="00C73F6F" w:rsidP="00850786">
            <w:pPr>
              <w:rPr>
                <w:b/>
              </w:rPr>
            </w:pPr>
            <w:r w:rsidRPr="00850786">
              <w:rPr>
                <w:b/>
              </w:rPr>
              <w:t>SIA “BM-projekts”</w:t>
            </w:r>
          </w:p>
        </w:tc>
      </w:tr>
      <w:tr w:rsidR="00C73F6F" w:rsidRPr="00B977CB" w:rsidTr="0047171B">
        <w:tc>
          <w:tcPr>
            <w:tcW w:w="2127" w:type="dxa"/>
          </w:tcPr>
          <w:p w:rsidR="00C73F6F" w:rsidRPr="00B977CB" w:rsidRDefault="00C73F6F" w:rsidP="0047171B">
            <w:pPr>
              <w:jc w:val="both"/>
            </w:pPr>
            <w:r w:rsidRPr="00B977CB">
              <w:t>Reģistrācijas Nr.</w:t>
            </w:r>
          </w:p>
        </w:tc>
        <w:tc>
          <w:tcPr>
            <w:tcW w:w="3430" w:type="dxa"/>
            <w:vAlign w:val="center"/>
          </w:tcPr>
          <w:p w:rsidR="00C73F6F" w:rsidRPr="00B977CB" w:rsidRDefault="00C73F6F" w:rsidP="0047171B">
            <w:r w:rsidRPr="00B977CB">
              <w:t>90000042516</w:t>
            </w:r>
          </w:p>
        </w:tc>
        <w:tc>
          <w:tcPr>
            <w:tcW w:w="3533" w:type="dxa"/>
          </w:tcPr>
          <w:p w:rsidR="00C73F6F" w:rsidRPr="00850786" w:rsidRDefault="00C73F6F" w:rsidP="0047171B">
            <w:pPr>
              <w:jc w:val="both"/>
            </w:pPr>
            <w:r w:rsidRPr="00850786">
              <w:t>40103196966</w:t>
            </w:r>
          </w:p>
        </w:tc>
      </w:tr>
      <w:tr w:rsidR="00C73F6F" w:rsidRPr="00B977CB" w:rsidTr="0047171B">
        <w:tc>
          <w:tcPr>
            <w:tcW w:w="2127" w:type="dxa"/>
          </w:tcPr>
          <w:p w:rsidR="00C73F6F" w:rsidRPr="00B977CB" w:rsidRDefault="00C73F6F" w:rsidP="0047171B">
            <w:pPr>
              <w:jc w:val="both"/>
            </w:pPr>
            <w:r w:rsidRPr="00B977CB">
              <w:t>Adrese</w:t>
            </w:r>
          </w:p>
        </w:tc>
        <w:tc>
          <w:tcPr>
            <w:tcW w:w="3430" w:type="dxa"/>
            <w:vAlign w:val="center"/>
          </w:tcPr>
          <w:p w:rsidR="00C73F6F" w:rsidRPr="00B977CB" w:rsidRDefault="00C73F6F" w:rsidP="0047171B">
            <w:r w:rsidRPr="00B977CB">
              <w:t>Lielā iela 11, Jelgava, LV-3001</w:t>
            </w:r>
          </w:p>
        </w:tc>
        <w:tc>
          <w:tcPr>
            <w:tcW w:w="3533" w:type="dxa"/>
          </w:tcPr>
          <w:p w:rsidR="00C73F6F" w:rsidRPr="00850786" w:rsidRDefault="00864EF3" w:rsidP="0047171B">
            <w:pPr>
              <w:jc w:val="both"/>
            </w:pPr>
            <w:r w:rsidRPr="00850786">
              <w:t>Pārslas iela 3B, Rīga, LV-1002</w:t>
            </w:r>
          </w:p>
        </w:tc>
      </w:tr>
      <w:tr w:rsidR="00C73F6F" w:rsidRPr="00B977CB" w:rsidTr="0047171B">
        <w:tc>
          <w:tcPr>
            <w:tcW w:w="2127" w:type="dxa"/>
          </w:tcPr>
          <w:p w:rsidR="00C73F6F" w:rsidRPr="00B977CB" w:rsidRDefault="00C73F6F" w:rsidP="0047171B">
            <w:pPr>
              <w:jc w:val="both"/>
            </w:pPr>
            <w:r w:rsidRPr="00B977CB">
              <w:t>Bankas nosaukums</w:t>
            </w:r>
          </w:p>
        </w:tc>
        <w:tc>
          <w:tcPr>
            <w:tcW w:w="3430" w:type="dxa"/>
            <w:vAlign w:val="center"/>
          </w:tcPr>
          <w:p w:rsidR="00C73F6F" w:rsidRPr="00B977CB" w:rsidRDefault="00C73F6F" w:rsidP="0047171B">
            <w:r w:rsidRPr="00B977CB">
              <w:t>AS SEB Banka</w:t>
            </w:r>
          </w:p>
        </w:tc>
        <w:tc>
          <w:tcPr>
            <w:tcW w:w="3533" w:type="dxa"/>
          </w:tcPr>
          <w:p w:rsidR="00C73F6F" w:rsidRPr="00B977CB" w:rsidRDefault="00850786" w:rsidP="0047171B">
            <w:pPr>
              <w:jc w:val="both"/>
            </w:pPr>
            <w:r w:rsidRPr="00850786">
              <w:t>DNB Banka</w:t>
            </w:r>
          </w:p>
        </w:tc>
      </w:tr>
      <w:tr w:rsidR="00C73F6F" w:rsidRPr="00B977CB" w:rsidTr="0047171B">
        <w:tc>
          <w:tcPr>
            <w:tcW w:w="2127" w:type="dxa"/>
          </w:tcPr>
          <w:p w:rsidR="00C73F6F" w:rsidRPr="00B977CB" w:rsidRDefault="00C73F6F" w:rsidP="0047171B">
            <w:pPr>
              <w:jc w:val="both"/>
            </w:pPr>
            <w:r w:rsidRPr="00B977CB">
              <w:t>Bankas kods</w:t>
            </w:r>
          </w:p>
        </w:tc>
        <w:tc>
          <w:tcPr>
            <w:tcW w:w="3430" w:type="dxa"/>
            <w:vAlign w:val="center"/>
          </w:tcPr>
          <w:p w:rsidR="00C73F6F" w:rsidRPr="00B977CB" w:rsidRDefault="00C73F6F" w:rsidP="0047171B">
            <w:r w:rsidRPr="00B977CB">
              <w:t>UNLALV2X</w:t>
            </w:r>
          </w:p>
        </w:tc>
        <w:tc>
          <w:tcPr>
            <w:tcW w:w="3533" w:type="dxa"/>
          </w:tcPr>
          <w:p w:rsidR="00C73F6F" w:rsidRPr="00B977CB" w:rsidRDefault="00850786" w:rsidP="0047171B">
            <w:pPr>
              <w:jc w:val="both"/>
            </w:pPr>
            <w:r w:rsidRPr="00850786">
              <w:t>RIKOLV2X</w:t>
            </w:r>
          </w:p>
        </w:tc>
      </w:tr>
      <w:tr w:rsidR="00C73F6F" w:rsidRPr="00B977CB" w:rsidTr="0047171B">
        <w:tc>
          <w:tcPr>
            <w:tcW w:w="2127" w:type="dxa"/>
          </w:tcPr>
          <w:p w:rsidR="00C73F6F" w:rsidRPr="00B977CB" w:rsidRDefault="00C73F6F" w:rsidP="0047171B">
            <w:pPr>
              <w:jc w:val="both"/>
            </w:pPr>
            <w:r w:rsidRPr="00B977CB">
              <w:t>Bankas konta Nr.</w:t>
            </w:r>
          </w:p>
        </w:tc>
        <w:tc>
          <w:tcPr>
            <w:tcW w:w="3430" w:type="dxa"/>
            <w:vAlign w:val="center"/>
          </w:tcPr>
          <w:p w:rsidR="00C73F6F" w:rsidRPr="00B977CB" w:rsidRDefault="00C73F6F" w:rsidP="0047171B">
            <w:r w:rsidRPr="00B977CB">
              <w:t>LV 44 UNLA 0008 0101 30906</w:t>
            </w:r>
          </w:p>
        </w:tc>
        <w:tc>
          <w:tcPr>
            <w:tcW w:w="3533" w:type="dxa"/>
          </w:tcPr>
          <w:p w:rsidR="00C73F6F" w:rsidRPr="00B977CB" w:rsidRDefault="00850786" w:rsidP="0047171B">
            <w:pPr>
              <w:jc w:val="both"/>
            </w:pPr>
            <w:r w:rsidRPr="00850786">
              <w:t>LV33RIKO0002013267394</w:t>
            </w:r>
          </w:p>
        </w:tc>
      </w:tr>
      <w:tr w:rsidR="00C73F6F" w:rsidRPr="00B977CB" w:rsidTr="0047171B">
        <w:trPr>
          <w:trHeight w:val="632"/>
        </w:trPr>
        <w:tc>
          <w:tcPr>
            <w:tcW w:w="2127" w:type="dxa"/>
          </w:tcPr>
          <w:p w:rsidR="00C73F6F" w:rsidRPr="00B977CB" w:rsidRDefault="00C73F6F" w:rsidP="0047171B">
            <w:r w:rsidRPr="00B977CB">
              <w:t>Pušu paraksti:</w:t>
            </w:r>
          </w:p>
          <w:p w:rsidR="00C73F6F" w:rsidRPr="00B977CB" w:rsidRDefault="00C73F6F" w:rsidP="0047171B">
            <w:pPr>
              <w:jc w:val="both"/>
            </w:pPr>
          </w:p>
        </w:tc>
        <w:tc>
          <w:tcPr>
            <w:tcW w:w="3430" w:type="dxa"/>
            <w:vAlign w:val="center"/>
          </w:tcPr>
          <w:p w:rsidR="00C73F6F" w:rsidRPr="00B977CB" w:rsidRDefault="00C73F6F" w:rsidP="0047171B"/>
        </w:tc>
        <w:tc>
          <w:tcPr>
            <w:tcW w:w="3533" w:type="dxa"/>
          </w:tcPr>
          <w:p w:rsidR="00C73F6F" w:rsidRPr="00B977CB" w:rsidRDefault="00C73F6F" w:rsidP="0047171B">
            <w:pPr>
              <w:jc w:val="both"/>
            </w:pPr>
          </w:p>
        </w:tc>
      </w:tr>
      <w:tr w:rsidR="00C73F6F" w:rsidRPr="00B977CB" w:rsidTr="0047171B">
        <w:trPr>
          <w:trHeight w:val="272"/>
        </w:trPr>
        <w:tc>
          <w:tcPr>
            <w:tcW w:w="2127" w:type="dxa"/>
          </w:tcPr>
          <w:p w:rsidR="00C73F6F" w:rsidRPr="00B977CB" w:rsidRDefault="00C73F6F" w:rsidP="0047171B">
            <w:pPr>
              <w:jc w:val="both"/>
            </w:pPr>
          </w:p>
        </w:tc>
        <w:tc>
          <w:tcPr>
            <w:tcW w:w="3430" w:type="dxa"/>
            <w:vAlign w:val="center"/>
          </w:tcPr>
          <w:p w:rsidR="00C73F6F" w:rsidRPr="00B977CB" w:rsidRDefault="00864EF3" w:rsidP="0047171B">
            <w:pPr>
              <w:jc w:val="center"/>
            </w:pPr>
            <w:r>
              <w:t>I. Škutāne</w:t>
            </w:r>
          </w:p>
        </w:tc>
        <w:tc>
          <w:tcPr>
            <w:tcW w:w="3533" w:type="dxa"/>
          </w:tcPr>
          <w:p w:rsidR="00C73F6F" w:rsidRPr="00B977CB" w:rsidRDefault="00850786" w:rsidP="0047171B">
            <w:pPr>
              <w:jc w:val="center"/>
            </w:pPr>
            <w:r>
              <w:t xml:space="preserve">M. </w:t>
            </w:r>
            <w:proofErr w:type="spellStart"/>
            <w:r w:rsidRPr="00850786">
              <w:t>Blumentāls</w:t>
            </w:r>
            <w:proofErr w:type="spellEnd"/>
          </w:p>
        </w:tc>
      </w:tr>
    </w:tbl>
    <w:p w:rsidR="00C73F6F" w:rsidRPr="00B977CB" w:rsidRDefault="00C73F6F" w:rsidP="00C73F6F">
      <w:pPr>
        <w:keepNext/>
        <w:spacing w:before="240" w:after="120"/>
        <w:outlineLvl w:val="2"/>
        <w:rPr>
          <w:b/>
        </w:rPr>
      </w:pPr>
    </w:p>
    <w:p w:rsidR="00555270" w:rsidRDefault="00C73F6F" w:rsidP="00555270">
      <w:pPr>
        <w:keepNext/>
        <w:spacing w:before="240" w:after="120"/>
        <w:jc w:val="center"/>
        <w:outlineLvl w:val="2"/>
        <w:rPr>
          <w:b/>
        </w:rPr>
      </w:pPr>
      <w:r w:rsidRPr="00B977CB">
        <w:rPr>
          <w:b/>
        </w:rPr>
        <w:br w:type="page"/>
      </w:r>
    </w:p>
    <w:p w:rsidR="00555270" w:rsidRPr="00555270" w:rsidRDefault="00555270" w:rsidP="00555270">
      <w:pPr>
        <w:keepNext/>
        <w:spacing w:before="240" w:after="120"/>
        <w:jc w:val="right"/>
        <w:outlineLvl w:val="2"/>
        <w:rPr>
          <w:i/>
          <w:sz w:val="22"/>
          <w:szCs w:val="22"/>
          <w:lang w:eastAsia="en-US"/>
        </w:rPr>
      </w:pPr>
      <w:r w:rsidRPr="00555270">
        <w:rPr>
          <w:i/>
          <w:sz w:val="22"/>
          <w:szCs w:val="22"/>
          <w:lang w:eastAsia="en-US"/>
        </w:rPr>
        <w:lastRenderedPageBreak/>
        <w:t>1. Pielikums</w:t>
      </w:r>
    </w:p>
    <w:p w:rsidR="00555270" w:rsidRPr="00B977CB" w:rsidRDefault="00555270" w:rsidP="00555270">
      <w:pPr>
        <w:keepNext/>
        <w:spacing w:before="240" w:after="120"/>
        <w:jc w:val="center"/>
        <w:outlineLvl w:val="2"/>
        <w:rPr>
          <w:sz w:val="31"/>
          <w:szCs w:val="31"/>
          <w:lang w:eastAsia="en-US"/>
        </w:rPr>
      </w:pPr>
      <w:r w:rsidRPr="00B977CB">
        <w:rPr>
          <w:sz w:val="31"/>
          <w:szCs w:val="31"/>
          <w:lang w:eastAsia="en-US"/>
        </w:rPr>
        <w:t xml:space="preserve">TEHNISKĀ SPECIFIKĀCIJA </w:t>
      </w:r>
    </w:p>
    <w:p w:rsidR="00555270" w:rsidRPr="00B977CB" w:rsidRDefault="00555270" w:rsidP="00555270">
      <w:pPr>
        <w:rPr>
          <w:b/>
          <w:color w:val="000000"/>
          <w:u w:val="single"/>
          <w:lang w:eastAsia="en-US"/>
        </w:rPr>
      </w:pPr>
      <w:r w:rsidRPr="00B977CB">
        <w:rPr>
          <w:b/>
          <w:color w:val="000000"/>
          <w:u w:val="single"/>
          <w:lang w:eastAsia="en-US"/>
        </w:rPr>
        <w:t>1.Vispārīgā informācija.</w:t>
      </w:r>
    </w:p>
    <w:p w:rsidR="00555270" w:rsidRPr="00B977CB" w:rsidRDefault="00555270" w:rsidP="00555270">
      <w:pPr>
        <w:rPr>
          <w:b/>
          <w:color w:val="000000"/>
          <w:u w:val="single"/>
          <w:lang w:eastAsia="en-US"/>
        </w:rPr>
      </w:pPr>
    </w:p>
    <w:p w:rsidR="00555270" w:rsidRPr="00B977CB" w:rsidRDefault="00555270" w:rsidP="00555270">
      <w:pPr>
        <w:numPr>
          <w:ilvl w:val="1"/>
          <w:numId w:val="4"/>
        </w:numPr>
        <w:rPr>
          <w:bCs/>
          <w:lang w:eastAsia="en-US"/>
        </w:rPr>
      </w:pPr>
      <w:r w:rsidRPr="00B977CB">
        <w:rPr>
          <w:bCs/>
          <w:color w:val="000000"/>
          <w:lang w:eastAsia="en-US"/>
        </w:rPr>
        <w:t>Iepirkuma priekšmets „Sporta stadiona pārbūve Pulkveža Oskara Kalpaka ielā 34A” izstrāde un būvdarbu autoruzraudzība.</w:t>
      </w:r>
    </w:p>
    <w:p w:rsidR="00555270" w:rsidRPr="00B977CB" w:rsidRDefault="00555270" w:rsidP="00555270">
      <w:pPr>
        <w:numPr>
          <w:ilvl w:val="1"/>
          <w:numId w:val="4"/>
        </w:numPr>
        <w:rPr>
          <w:bCs/>
          <w:color w:val="000000"/>
          <w:lang w:eastAsia="en-US"/>
        </w:rPr>
      </w:pPr>
      <w:r w:rsidRPr="00B977CB">
        <w:rPr>
          <w:bCs/>
          <w:lang w:eastAsia="en-US"/>
        </w:rPr>
        <w:t xml:space="preserve">Būvobjekta adrese: </w:t>
      </w:r>
      <w:r w:rsidRPr="00B977CB">
        <w:rPr>
          <w:lang w:eastAsia="en-US"/>
        </w:rPr>
        <w:t>Pulkveža  Oskara Kalpaka iela 34A, Jelgava</w:t>
      </w:r>
    </w:p>
    <w:p w:rsidR="00555270" w:rsidRPr="00B977CB" w:rsidRDefault="00555270" w:rsidP="00555270">
      <w:pPr>
        <w:numPr>
          <w:ilvl w:val="1"/>
          <w:numId w:val="4"/>
        </w:numPr>
        <w:rPr>
          <w:bCs/>
          <w:color w:val="000000"/>
          <w:lang w:eastAsia="en-US"/>
        </w:rPr>
      </w:pPr>
      <w:r w:rsidRPr="00B977CB">
        <w:rPr>
          <w:lang w:eastAsia="en-US"/>
        </w:rPr>
        <w:t>Zemes gabala kadastra Nr.0900 001 0703</w:t>
      </w:r>
    </w:p>
    <w:p w:rsidR="00555270" w:rsidRPr="00B977CB" w:rsidRDefault="00555270" w:rsidP="00555270">
      <w:pPr>
        <w:numPr>
          <w:ilvl w:val="1"/>
          <w:numId w:val="4"/>
        </w:numPr>
        <w:rPr>
          <w:bCs/>
          <w:color w:val="000000"/>
          <w:lang w:eastAsia="en-US"/>
        </w:rPr>
      </w:pPr>
      <w:r w:rsidRPr="00B977CB">
        <w:rPr>
          <w:lang w:eastAsia="en-US"/>
        </w:rPr>
        <w:t>Lai kvalitatīvi sagatavotu piedāvājumu Pretendentam jāiepazīstas ar:</w:t>
      </w:r>
    </w:p>
    <w:p w:rsidR="00555270" w:rsidRPr="00B977CB" w:rsidRDefault="00555270" w:rsidP="00555270">
      <w:pPr>
        <w:numPr>
          <w:ilvl w:val="0"/>
          <w:numId w:val="5"/>
        </w:numPr>
        <w:rPr>
          <w:bCs/>
          <w:color w:val="000000"/>
          <w:lang w:eastAsia="en-US"/>
        </w:rPr>
      </w:pPr>
      <w:r w:rsidRPr="00B977CB">
        <w:rPr>
          <w:bCs/>
          <w:color w:val="000000"/>
          <w:lang w:eastAsia="en-US"/>
        </w:rPr>
        <w:t>pārbūvējamā stadiona plānojuma skici (1.Pielikums);</w:t>
      </w:r>
    </w:p>
    <w:p w:rsidR="00555270" w:rsidRPr="00B977CB" w:rsidRDefault="00555270" w:rsidP="00555270">
      <w:pPr>
        <w:numPr>
          <w:ilvl w:val="0"/>
          <w:numId w:val="5"/>
        </w:numPr>
        <w:rPr>
          <w:bCs/>
          <w:color w:val="000000"/>
          <w:lang w:eastAsia="en-US"/>
        </w:rPr>
      </w:pPr>
      <w:r w:rsidRPr="00B977CB">
        <w:rPr>
          <w:bCs/>
          <w:color w:val="000000"/>
          <w:lang w:eastAsia="en-US"/>
        </w:rPr>
        <w:t>būvlaukuma vietu;</w:t>
      </w:r>
    </w:p>
    <w:p w:rsidR="00555270" w:rsidRPr="00B977CB" w:rsidRDefault="00555270" w:rsidP="00555270">
      <w:pPr>
        <w:numPr>
          <w:ilvl w:val="1"/>
          <w:numId w:val="4"/>
        </w:numPr>
        <w:rPr>
          <w:bCs/>
          <w:color w:val="000000"/>
          <w:lang w:eastAsia="en-US"/>
        </w:rPr>
      </w:pPr>
      <w:r w:rsidRPr="00B977CB">
        <w:rPr>
          <w:bCs/>
          <w:color w:val="000000"/>
          <w:lang w:eastAsia="en-US"/>
        </w:rPr>
        <w:t xml:space="preserve">Pretendentam ir jāiesniedz pretendenta parakstīts Tehniskais piedāvājums, saskaņā ar tehniskā piedāvājuma formu (2. pielikums). </w:t>
      </w:r>
    </w:p>
    <w:p w:rsidR="00555270" w:rsidRPr="00B977CB" w:rsidRDefault="00555270" w:rsidP="00555270">
      <w:pPr>
        <w:autoSpaceDE w:val="0"/>
        <w:autoSpaceDN w:val="0"/>
        <w:adjustRightInd w:val="0"/>
        <w:rPr>
          <w:b/>
          <w:bCs/>
          <w:lang w:eastAsia="en-GB"/>
        </w:rPr>
      </w:pPr>
    </w:p>
    <w:p w:rsidR="00555270" w:rsidRPr="00B977CB" w:rsidRDefault="00555270" w:rsidP="00555270">
      <w:pPr>
        <w:autoSpaceDE w:val="0"/>
        <w:autoSpaceDN w:val="0"/>
        <w:adjustRightInd w:val="0"/>
        <w:rPr>
          <w:rFonts w:ascii="Times New Roman,Bold" w:hAnsi="Times New Roman,Bold" w:cs="Times New Roman,Bold"/>
          <w:b/>
          <w:bCs/>
          <w:u w:val="single"/>
          <w:lang w:eastAsia="en-GB"/>
        </w:rPr>
      </w:pPr>
      <w:r w:rsidRPr="00B977CB">
        <w:rPr>
          <w:b/>
          <w:bCs/>
          <w:u w:val="single"/>
          <w:lang w:eastAsia="en-GB"/>
        </w:rPr>
        <w:t>2.</w:t>
      </w:r>
      <w:r w:rsidRPr="00B977CB">
        <w:rPr>
          <w:rFonts w:ascii="Times New Roman,Bold" w:hAnsi="Times New Roman,Bold" w:cs="Times New Roman,Bold"/>
          <w:b/>
          <w:bCs/>
          <w:u w:val="single"/>
          <w:lang w:eastAsia="en-GB"/>
        </w:rPr>
        <w:t>Projektēšanas uzdevumu mērķis, sasniedzamais rezultāts.</w:t>
      </w:r>
    </w:p>
    <w:p w:rsidR="00555270" w:rsidRPr="00B977CB" w:rsidRDefault="00555270" w:rsidP="00555270">
      <w:pPr>
        <w:autoSpaceDE w:val="0"/>
        <w:autoSpaceDN w:val="0"/>
        <w:adjustRightInd w:val="0"/>
        <w:rPr>
          <w:lang w:eastAsia="en-GB"/>
        </w:rPr>
      </w:pPr>
    </w:p>
    <w:p w:rsidR="00555270" w:rsidRPr="00B977CB" w:rsidRDefault="00555270" w:rsidP="00555270">
      <w:pPr>
        <w:autoSpaceDE w:val="0"/>
        <w:autoSpaceDN w:val="0"/>
        <w:adjustRightInd w:val="0"/>
        <w:ind w:firstLine="720"/>
        <w:jc w:val="both"/>
        <w:rPr>
          <w:lang w:eastAsia="en-GB"/>
        </w:rPr>
      </w:pPr>
      <w:r w:rsidRPr="00B977CB">
        <w:rPr>
          <w:lang w:eastAsia="en-GB"/>
        </w:rPr>
        <w:t>Esošā stadiona un tam piekrītošās infrastruktūras pārbūves projekta izstrādāšana,</w:t>
      </w:r>
    </w:p>
    <w:p w:rsidR="00555270" w:rsidRPr="00B977CB" w:rsidRDefault="00555270" w:rsidP="00555270">
      <w:pPr>
        <w:autoSpaceDE w:val="0"/>
        <w:autoSpaceDN w:val="0"/>
        <w:adjustRightInd w:val="0"/>
        <w:jc w:val="both"/>
        <w:rPr>
          <w:lang w:eastAsia="en-GB"/>
        </w:rPr>
      </w:pPr>
      <w:r w:rsidRPr="00B977CB">
        <w:rPr>
          <w:lang w:eastAsia="en-GB"/>
        </w:rPr>
        <w:t>atbilstoši Pasūtītāja vēlmēm un norādījumiem. Projektētajam stadionam un dažādu disciplīnu sektoriem nav pilnībā jāatbilst IAAF un citu sporta spēļu federāciju noteiktajiem standartiem. Rezultātā jāiegūst stadions ar atbilstošu infrastruktūru, lai nodrošinātu iespēju skolniekiem nodarboties ar dažādām sportiskām aktivitātēm.</w:t>
      </w:r>
    </w:p>
    <w:p w:rsidR="00555270" w:rsidRPr="00B977CB" w:rsidRDefault="00555270" w:rsidP="00555270">
      <w:pPr>
        <w:rPr>
          <w:bCs/>
          <w:color w:val="000000"/>
          <w:lang w:eastAsia="en-US"/>
        </w:rPr>
      </w:pPr>
    </w:p>
    <w:p w:rsidR="00555270" w:rsidRPr="00B977CB" w:rsidRDefault="00555270" w:rsidP="00555270">
      <w:pPr>
        <w:ind w:left="600" w:hanging="600"/>
        <w:rPr>
          <w:b/>
          <w:u w:val="single"/>
          <w:lang w:eastAsia="en-US"/>
        </w:rPr>
      </w:pPr>
      <w:r w:rsidRPr="00B977CB">
        <w:rPr>
          <w:b/>
          <w:u w:val="single"/>
          <w:lang w:eastAsia="en-US"/>
        </w:rPr>
        <w:t>3.Būvprojekta izstrāde un iesniegšana</w:t>
      </w:r>
    </w:p>
    <w:p w:rsidR="00555270" w:rsidRPr="00B977CB" w:rsidRDefault="00555270" w:rsidP="00555270">
      <w:pPr>
        <w:ind w:left="360"/>
        <w:rPr>
          <w:b/>
          <w:u w:val="single"/>
          <w:lang w:eastAsia="en-US"/>
        </w:rPr>
      </w:pPr>
    </w:p>
    <w:p w:rsidR="00555270" w:rsidRPr="00B977CB" w:rsidRDefault="00555270" w:rsidP="00555270">
      <w:pPr>
        <w:jc w:val="both"/>
        <w:rPr>
          <w:lang w:eastAsia="en-US"/>
        </w:rPr>
      </w:pPr>
      <w:r w:rsidRPr="00B977CB">
        <w:rPr>
          <w:lang w:eastAsia="en-US"/>
        </w:rPr>
        <w:t>2.1. Projektētājs, atbilstoši būvprojekta izstrādes laika grafikam, iesniedz Pasūtītājam būvprojektu minimālajā sastāvā (MBP) 3(trīs) mēnešu laikā no līguma noslēgšanas brīža, kurš sastāv no skaidrojoša apraksta par plānotajām izmaiņām, būvprojekta ģenerālplāna atbilstošā vizuāli uztveramā mērogā (M 1:250; M 1:500) uz derīga topogrāfiskā plāna, grafiskiem dokumentiem, kuros parādīta ēkas vai tās daļas plānotās izmaiņas, raksturīgiem griezumiem, saskaņojumiem ar institūcijām un citiem dokumentiem vai atļaujām, ja to nosaka normatīvie akti.</w:t>
      </w:r>
    </w:p>
    <w:p w:rsidR="00555270" w:rsidRPr="00B977CB" w:rsidRDefault="00555270" w:rsidP="00555270">
      <w:pPr>
        <w:jc w:val="both"/>
        <w:rPr>
          <w:lang w:eastAsia="en-US"/>
        </w:rPr>
      </w:pPr>
      <w:r w:rsidRPr="00B977CB">
        <w:rPr>
          <w:lang w:eastAsia="en-US"/>
        </w:rPr>
        <w:t>Pēc būvatļaujas saņemšanas, atbilstoši tās sastāvā iekļautiem projektēšanas nosacījumiem tiek sagatavots (noformēts) būvprojekts (BP). Būvprojekts izstrādājams 8(astoņu) mēnešu laikā no līguma noslēgšanas brīža.</w:t>
      </w:r>
    </w:p>
    <w:p w:rsidR="00555270" w:rsidRPr="00B977CB" w:rsidRDefault="00555270" w:rsidP="00555270">
      <w:pPr>
        <w:autoSpaceDN w:val="0"/>
        <w:jc w:val="both"/>
        <w:rPr>
          <w:lang w:eastAsia="en-US"/>
        </w:rPr>
      </w:pPr>
      <w:r w:rsidRPr="00B977CB">
        <w:rPr>
          <w:lang w:eastAsia="en-US"/>
        </w:rPr>
        <w:t xml:space="preserve">2.2. Institūciju tehniskos noteikumus, kas attiecas uz visām projekta daļām nodrošina Pasūtītājs. </w:t>
      </w:r>
    </w:p>
    <w:p w:rsidR="00555270" w:rsidRPr="00B977CB" w:rsidRDefault="00555270" w:rsidP="00555270">
      <w:pPr>
        <w:autoSpaceDN w:val="0"/>
        <w:jc w:val="both"/>
        <w:rPr>
          <w:lang w:eastAsia="en-US"/>
        </w:rPr>
      </w:pPr>
      <w:r w:rsidRPr="00B977CB">
        <w:rPr>
          <w:lang w:eastAsia="en-US"/>
        </w:rPr>
        <w:t xml:space="preserve">2.3. Izpildītājs organizē un nodrošina tehnisko apsekošanu pēc visām likuma prasībām. </w:t>
      </w:r>
    </w:p>
    <w:p w:rsidR="00555270" w:rsidRPr="00B977CB" w:rsidRDefault="00555270" w:rsidP="00555270">
      <w:pPr>
        <w:autoSpaceDN w:val="0"/>
        <w:jc w:val="both"/>
        <w:rPr>
          <w:lang w:eastAsia="en-US"/>
        </w:rPr>
      </w:pPr>
      <w:r w:rsidRPr="00B977CB">
        <w:rPr>
          <w:lang w:eastAsia="en-US"/>
        </w:rPr>
        <w:t>2.4. Darba veikšanai nepieciešamos aktuālos topogrāfiskos materiālus nodrošina Izpildītājs.</w:t>
      </w:r>
    </w:p>
    <w:p w:rsidR="00555270" w:rsidRPr="00B977CB" w:rsidRDefault="00555270" w:rsidP="00555270">
      <w:pPr>
        <w:tabs>
          <w:tab w:val="left" w:pos="540"/>
        </w:tabs>
        <w:contextualSpacing/>
        <w:jc w:val="both"/>
        <w:rPr>
          <w:lang w:eastAsia="en-US"/>
        </w:rPr>
      </w:pPr>
      <w:r w:rsidRPr="00B977CB">
        <w:rPr>
          <w:lang w:eastAsia="en-US"/>
        </w:rPr>
        <w:t xml:space="preserve">2.5. Būvprojektam </w:t>
      </w:r>
      <w:r w:rsidRPr="00B977CB">
        <w:rPr>
          <w:b/>
          <w:u w:val="single"/>
          <w:lang w:eastAsia="en-US"/>
        </w:rPr>
        <w:t>e</w:t>
      </w:r>
      <w:r w:rsidRPr="00B977CB">
        <w:rPr>
          <w:b/>
          <w:bCs/>
          <w:u w:val="single"/>
          <w:lang w:eastAsia="en-US"/>
        </w:rPr>
        <w:t xml:space="preserve">kspertīzi </w:t>
      </w:r>
      <w:proofErr w:type="spellStart"/>
      <w:r w:rsidRPr="00B977CB">
        <w:rPr>
          <w:b/>
          <w:bCs/>
          <w:u w:val="single"/>
          <w:lang w:eastAsia="en-US"/>
        </w:rPr>
        <w:t>pasūta</w:t>
      </w:r>
      <w:proofErr w:type="spellEnd"/>
      <w:r w:rsidRPr="00B977CB">
        <w:rPr>
          <w:b/>
          <w:bCs/>
          <w:u w:val="single"/>
          <w:lang w:eastAsia="en-US"/>
        </w:rPr>
        <w:t xml:space="preserve"> un apmaksā Pasūtītājs. </w:t>
      </w:r>
      <w:r w:rsidRPr="00B977CB">
        <w:rPr>
          <w:color w:val="000000"/>
          <w:lang w:eastAsia="en-US"/>
        </w:rPr>
        <w:t xml:space="preserve">Projektētāja pienākums ir projektēšanas darbu izstrādes laika grafikā ietvert ekspertīzes veikšanu. Projektētājs iesniedz pasūtītājam pilnu būvprojektu uz ekspertīzi atbilstoši tehniskajai specifikācijai. </w:t>
      </w:r>
      <w:r w:rsidRPr="00B977CB">
        <w:rPr>
          <w:b/>
          <w:color w:val="000000"/>
          <w:lang w:eastAsia="en-US"/>
        </w:rPr>
        <w:t>Izpildītājam laika grafikā, jāparedz 10 darba dienas ekspertīzes veikšanai.</w:t>
      </w:r>
      <w:r w:rsidRPr="00B977CB">
        <w:rPr>
          <w:lang w:eastAsia="en-US"/>
        </w:rPr>
        <w:t xml:space="preserve"> Pasūtītājs galīgi akceptē būvprojektu un veic galīgo norēķinu pēc pozitīva ekspertīzes slēdziena saņemšanas un akcepta būvvaldē. (Ja būvprojektam ekspertīzes laikā tiek konstatētas būtiskas neatbilstības un būs nepieciešams veikt atkārtotu ekspertīzi, to apmaksā projekta autors. </w:t>
      </w:r>
    </w:p>
    <w:p w:rsidR="00555270" w:rsidRPr="00B977CB" w:rsidRDefault="00555270" w:rsidP="00555270">
      <w:pPr>
        <w:tabs>
          <w:tab w:val="left" w:pos="540"/>
        </w:tabs>
        <w:contextualSpacing/>
        <w:jc w:val="both"/>
        <w:rPr>
          <w:lang w:eastAsia="en-US"/>
        </w:rPr>
      </w:pPr>
      <w:r w:rsidRPr="00B977CB">
        <w:rPr>
          <w:lang w:eastAsia="en-US"/>
        </w:rPr>
        <w:t>2.6.</w:t>
      </w:r>
      <w:r w:rsidRPr="00B977CB">
        <w:rPr>
          <w:bCs/>
          <w:lang w:eastAsia="en-US"/>
        </w:rPr>
        <w:t>Pirms nodošanas Pasūtītājam būvprojektam jābūt saskaņotam šādās iestādēs un dienestos:</w:t>
      </w:r>
    </w:p>
    <w:p w:rsidR="00555270" w:rsidRPr="00B977CB" w:rsidRDefault="00555270" w:rsidP="00555270">
      <w:pPr>
        <w:jc w:val="both"/>
        <w:rPr>
          <w:bCs/>
          <w:lang w:eastAsia="en-US"/>
        </w:rPr>
      </w:pPr>
      <w:r w:rsidRPr="00B977CB">
        <w:rPr>
          <w:bCs/>
          <w:lang w:eastAsia="en-US"/>
        </w:rPr>
        <w:t>- Jelgavas pilsētas pašvaldības Būvvalde (Lielā iela 11, Jelgava);</w:t>
      </w:r>
    </w:p>
    <w:p w:rsidR="00555270" w:rsidRPr="00B977CB" w:rsidRDefault="00555270" w:rsidP="00555270">
      <w:pPr>
        <w:rPr>
          <w:bCs/>
          <w:lang w:eastAsia="en-US"/>
        </w:rPr>
      </w:pPr>
      <w:r w:rsidRPr="00B977CB">
        <w:rPr>
          <w:bCs/>
          <w:lang w:eastAsia="en-US"/>
        </w:rPr>
        <w:t>- Jelgavas pilsētas Domes administrācijas IT pārvaldi (Lielā iela 11, Jelgava).</w:t>
      </w:r>
    </w:p>
    <w:p w:rsidR="00555270" w:rsidRPr="00B977CB" w:rsidRDefault="00555270" w:rsidP="00555270">
      <w:pPr>
        <w:jc w:val="both"/>
        <w:rPr>
          <w:bCs/>
          <w:lang w:eastAsia="en-US"/>
        </w:rPr>
      </w:pPr>
      <w:r w:rsidRPr="00B977CB">
        <w:rPr>
          <w:bCs/>
          <w:lang w:eastAsia="en-US"/>
        </w:rPr>
        <w:t>- SIA ‘’Jelgavas ūdens’’ (Ūdensvada iela 4, Jelgava);</w:t>
      </w:r>
    </w:p>
    <w:p w:rsidR="00555270" w:rsidRPr="00B977CB" w:rsidRDefault="00555270" w:rsidP="00555270">
      <w:pPr>
        <w:jc w:val="both"/>
        <w:rPr>
          <w:bCs/>
          <w:lang w:eastAsia="en-US"/>
        </w:rPr>
      </w:pPr>
      <w:r w:rsidRPr="00B977CB">
        <w:rPr>
          <w:bCs/>
          <w:lang w:eastAsia="en-US"/>
        </w:rPr>
        <w:t>- AS ‘’Sadales tīkls’’ (Elektrības iela 10, Jelgava);</w:t>
      </w:r>
    </w:p>
    <w:p w:rsidR="00555270" w:rsidRPr="00B977CB" w:rsidRDefault="00555270" w:rsidP="00555270">
      <w:pPr>
        <w:jc w:val="both"/>
        <w:rPr>
          <w:bCs/>
          <w:lang w:eastAsia="en-US"/>
        </w:rPr>
      </w:pPr>
      <w:r w:rsidRPr="00B977CB">
        <w:rPr>
          <w:bCs/>
          <w:lang w:eastAsia="en-US"/>
        </w:rPr>
        <w:t>- SIA ‘’</w:t>
      </w:r>
      <w:proofErr w:type="spellStart"/>
      <w:r w:rsidRPr="00B977CB">
        <w:rPr>
          <w:bCs/>
          <w:lang w:eastAsia="en-US"/>
        </w:rPr>
        <w:t>Fortum</w:t>
      </w:r>
      <w:proofErr w:type="spellEnd"/>
      <w:r w:rsidRPr="00B977CB">
        <w:rPr>
          <w:bCs/>
          <w:lang w:eastAsia="en-US"/>
        </w:rPr>
        <w:t xml:space="preserve"> Jelgava’’ (Pasta iela 47, 4.stāvs);</w:t>
      </w:r>
    </w:p>
    <w:p w:rsidR="00555270" w:rsidRPr="00B977CB" w:rsidRDefault="00555270" w:rsidP="00555270">
      <w:pPr>
        <w:jc w:val="both"/>
        <w:rPr>
          <w:bCs/>
          <w:lang w:eastAsia="en-US"/>
        </w:rPr>
      </w:pPr>
      <w:r w:rsidRPr="00B977CB">
        <w:rPr>
          <w:bCs/>
          <w:lang w:eastAsia="en-US"/>
        </w:rPr>
        <w:t>- Veselības inspekcija, Zemgales kontroles nodaļa (Zemgales prospekts 3, Jelgava);</w:t>
      </w:r>
    </w:p>
    <w:p w:rsidR="00555270" w:rsidRPr="00B977CB" w:rsidRDefault="00555270" w:rsidP="00555270">
      <w:pPr>
        <w:jc w:val="both"/>
        <w:rPr>
          <w:bCs/>
          <w:lang w:eastAsia="en-US"/>
        </w:rPr>
      </w:pPr>
      <w:r w:rsidRPr="00B977CB">
        <w:rPr>
          <w:bCs/>
          <w:lang w:eastAsia="en-US"/>
        </w:rPr>
        <w:lastRenderedPageBreak/>
        <w:t xml:space="preserve">- Jelgavas pilsētas pašvaldības Būvvaldes piesaistītu ekspertu vides pieejamības jautājumos Kārli </w:t>
      </w:r>
      <w:proofErr w:type="spellStart"/>
      <w:r w:rsidRPr="00B977CB">
        <w:rPr>
          <w:bCs/>
          <w:lang w:eastAsia="en-US"/>
        </w:rPr>
        <w:t>Rūbu</w:t>
      </w:r>
      <w:proofErr w:type="spellEnd"/>
      <w:r w:rsidRPr="00B977CB">
        <w:rPr>
          <w:bCs/>
          <w:lang w:eastAsia="en-US"/>
        </w:rPr>
        <w:t xml:space="preserve"> (Satiksmes iela 33-68, Jelgava, tel. 63031264).</w:t>
      </w:r>
    </w:p>
    <w:p w:rsidR="00555270" w:rsidRPr="00B977CB" w:rsidRDefault="00555270" w:rsidP="00555270">
      <w:pPr>
        <w:rPr>
          <w:bCs/>
          <w:u w:val="single"/>
          <w:lang w:eastAsia="en-US"/>
        </w:rPr>
      </w:pPr>
      <w:r w:rsidRPr="00B977CB">
        <w:rPr>
          <w:lang w:eastAsia="en-US"/>
        </w:rPr>
        <w:t xml:space="preserve">2.7. Būvprojekts jāiesniedz Pasūtītājam 6 eksemplāros papīra formātā un 1 CD. CD jāietver visi projekta rasējumi </w:t>
      </w:r>
      <w:proofErr w:type="spellStart"/>
      <w:r w:rsidRPr="00B977CB">
        <w:rPr>
          <w:bCs/>
          <w:u w:val="single"/>
          <w:lang w:eastAsia="en-US"/>
        </w:rPr>
        <w:t>vektordatu</w:t>
      </w:r>
      <w:proofErr w:type="spellEnd"/>
      <w:r w:rsidRPr="00B977CB">
        <w:rPr>
          <w:bCs/>
          <w:u w:val="single"/>
          <w:lang w:eastAsia="en-US"/>
        </w:rPr>
        <w:t xml:space="preserve"> formā (*.</w:t>
      </w:r>
      <w:proofErr w:type="spellStart"/>
      <w:r w:rsidRPr="00B977CB">
        <w:rPr>
          <w:bCs/>
          <w:u w:val="single"/>
          <w:lang w:eastAsia="en-US"/>
        </w:rPr>
        <w:t>dgn</w:t>
      </w:r>
      <w:proofErr w:type="spellEnd"/>
      <w:r w:rsidRPr="00B977CB">
        <w:rPr>
          <w:bCs/>
          <w:u w:val="single"/>
          <w:lang w:eastAsia="en-US"/>
        </w:rPr>
        <w:t>; *.</w:t>
      </w:r>
      <w:proofErr w:type="spellStart"/>
      <w:r w:rsidRPr="00B977CB">
        <w:rPr>
          <w:bCs/>
          <w:u w:val="single"/>
          <w:lang w:eastAsia="en-US"/>
        </w:rPr>
        <w:t>dwg</w:t>
      </w:r>
      <w:proofErr w:type="spellEnd"/>
      <w:r w:rsidRPr="00B977CB">
        <w:rPr>
          <w:bCs/>
          <w:u w:val="single"/>
          <w:lang w:eastAsia="en-US"/>
        </w:rPr>
        <w:t xml:space="preserve"> formātā). </w:t>
      </w:r>
    </w:p>
    <w:p w:rsidR="00555270" w:rsidRPr="00B977CB" w:rsidRDefault="00555270" w:rsidP="00555270">
      <w:pPr>
        <w:rPr>
          <w:bCs/>
          <w:color w:val="000000"/>
          <w:lang w:eastAsia="en-US"/>
        </w:rPr>
      </w:pPr>
    </w:p>
    <w:p w:rsidR="00555270" w:rsidRPr="00B977CB" w:rsidRDefault="00555270" w:rsidP="00555270">
      <w:pPr>
        <w:rPr>
          <w:b/>
          <w:bCs/>
          <w:u w:val="single"/>
          <w:lang w:eastAsia="en-US"/>
        </w:rPr>
      </w:pPr>
      <w:r w:rsidRPr="00B977CB">
        <w:rPr>
          <w:b/>
          <w:bCs/>
          <w:u w:val="single"/>
          <w:lang w:eastAsia="en-US"/>
        </w:rPr>
        <w:t>3.Pretendenta pienākumi un atbildība.</w:t>
      </w:r>
    </w:p>
    <w:p w:rsidR="00555270" w:rsidRPr="00B977CB" w:rsidRDefault="00555270" w:rsidP="00555270">
      <w:pPr>
        <w:rPr>
          <w:b/>
          <w:bCs/>
          <w:lang w:eastAsia="en-US"/>
        </w:rPr>
      </w:pPr>
    </w:p>
    <w:p w:rsidR="00555270" w:rsidRPr="00B977CB" w:rsidRDefault="00555270" w:rsidP="00555270">
      <w:pPr>
        <w:ind w:left="420"/>
        <w:jc w:val="both"/>
        <w:rPr>
          <w:lang w:eastAsia="en-US"/>
        </w:rPr>
      </w:pPr>
      <w:r w:rsidRPr="00B977CB">
        <w:rPr>
          <w:lang w:eastAsia="en-US"/>
        </w:rPr>
        <w:t>Pretendents ir atbildīgs par Būvprojektu kopumā, Būvprojekta saskaņošanu ar tehnisko un īpašo noteikumu izdevējiem un ar Pasūtītāju.</w:t>
      </w:r>
    </w:p>
    <w:p w:rsidR="00555270" w:rsidRPr="00B977CB" w:rsidRDefault="00555270" w:rsidP="00555270">
      <w:pPr>
        <w:ind w:left="420"/>
        <w:jc w:val="both"/>
        <w:rPr>
          <w:lang w:eastAsia="en-US"/>
        </w:rPr>
      </w:pPr>
      <w:r w:rsidRPr="00B977CB">
        <w:rPr>
          <w:lang w:eastAsia="en-US"/>
        </w:rPr>
        <w:t>Pretendentam ir nepieciešamas atbilstošas licences un sertifikāti, kas atļauj projektēt attiecīgās Būvprojekta sadaļas.</w:t>
      </w:r>
    </w:p>
    <w:p w:rsidR="00555270" w:rsidRPr="00B977CB" w:rsidRDefault="00555270" w:rsidP="00555270">
      <w:pPr>
        <w:ind w:left="420"/>
        <w:jc w:val="both"/>
        <w:rPr>
          <w:lang w:eastAsia="en-US"/>
        </w:rPr>
      </w:pPr>
      <w:r w:rsidRPr="00B977CB">
        <w:rPr>
          <w:lang w:eastAsia="en-US"/>
        </w:rPr>
        <w:t>Katras atsevišķas Būvprojekta sadaļas autoram ir jāiepazīstas ar visām Tehnisko specifikāciju sadaļām, jo ir iespējamas tādas inženierkomunikāciju sadaļu nianses, kas ir aprakstītas citās Projektēšanas uzdevuma sadaļās un ir saistītas, vai arī kā citādi ietekmē konkrētajā sadaļā aprakstītos darbus.</w:t>
      </w:r>
    </w:p>
    <w:p w:rsidR="00555270" w:rsidRPr="00B977CB" w:rsidRDefault="00555270" w:rsidP="00555270">
      <w:pPr>
        <w:ind w:left="420"/>
        <w:jc w:val="both"/>
        <w:rPr>
          <w:lang w:eastAsia="en-US"/>
        </w:rPr>
      </w:pPr>
      <w:r w:rsidRPr="00B977CB">
        <w:rPr>
          <w:lang w:eastAsia="en-US"/>
        </w:rPr>
        <w:t>Pretendentam jāuzņemas pilna atbildība par Būvprojekta risinājumu atbilstību pastāvošajiem normatīviem. Pasūtītāja paraksts uz rasējumiem nozīme apstiprinājumu tajos ietvertās informācijas atbilstībai Pasūtītāja vēlmēm un prasībām.</w:t>
      </w:r>
    </w:p>
    <w:p w:rsidR="00555270" w:rsidRPr="00B977CB" w:rsidRDefault="00555270" w:rsidP="00555270">
      <w:pPr>
        <w:ind w:left="420"/>
        <w:jc w:val="both"/>
        <w:rPr>
          <w:lang w:eastAsia="en-US"/>
        </w:rPr>
      </w:pPr>
      <w:r w:rsidRPr="00B977CB">
        <w:rPr>
          <w:lang w:eastAsia="en-US"/>
        </w:rPr>
        <w:t>Pretendentam, gatavojot Būvprojektu, jāveic Būvprojektam nepieciešamie aprēķini, jāsagatavo specifikācijas un apraksti par materiāliem un iekārtām, lai Pasūtītājs vai Pasūtītāja izvēlētie konsultanti vai eksperti varētu pārliecināties par to pareizību un Būvprojekta kvalitāti.</w:t>
      </w:r>
    </w:p>
    <w:p w:rsidR="00555270" w:rsidRPr="00B977CB" w:rsidRDefault="00555270" w:rsidP="00555270">
      <w:pPr>
        <w:ind w:left="420"/>
        <w:jc w:val="both"/>
        <w:rPr>
          <w:lang w:eastAsia="en-US"/>
        </w:rPr>
      </w:pPr>
      <w:r w:rsidRPr="00B977CB">
        <w:rPr>
          <w:lang w:eastAsia="en-US"/>
        </w:rPr>
        <w:t xml:space="preserve">Pretendentam jānodrošina nepieciešamie risinājumi Būvprojekta arhitektūras un būvkonstrukciju sadaļās un inženierkomunikāciju </w:t>
      </w:r>
      <w:proofErr w:type="spellStart"/>
      <w:r w:rsidRPr="00B977CB">
        <w:rPr>
          <w:lang w:eastAsia="en-US"/>
        </w:rPr>
        <w:t>pieslēgumi</w:t>
      </w:r>
      <w:proofErr w:type="spellEnd"/>
      <w:r w:rsidRPr="00B977CB">
        <w:rPr>
          <w:lang w:eastAsia="en-US"/>
        </w:rPr>
        <w:t xml:space="preserve"> Pasūtītāja noteiktajām tehnoloģiskajām iekārtām un sadzīves tehnikai.</w:t>
      </w:r>
    </w:p>
    <w:p w:rsidR="00555270" w:rsidRPr="00B977CB" w:rsidRDefault="00555270" w:rsidP="00555270">
      <w:pPr>
        <w:ind w:left="420"/>
        <w:jc w:val="both"/>
        <w:rPr>
          <w:lang w:eastAsia="en-US"/>
        </w:rPr>
      </w:pPr>
    </w:p>
    <w:p w:rsidR="00555270" w:rsidRPr="00B977CB" w:rsidRDefault="00555270" w:rsidP="00555270">
      <w:pPr>
        <w:ind w:left="420"/>
        <w:jc w:val="both"/>
        <w:rPr>
          <w:lang w:eastAsia="en-US"/>
        </w:rPr>
      </w:pPr>
      <w:r w:rsidRPr="00B977CB">
        <w:rPr>
          <w:lang w:eastAsia="en-US"/>
        </w:rPr>
        <w:t xml:space="preserve"> </w:t>
      </w:r>
    </w:p>
    <w:p w:rsidR="00555270" w:rsidRPr="00B977CB" w:rsidRDefault="00555270" w:rsidP="00555270">
      <w:pPr>
        <w:jc w:val="both"/>
        <w:rPr>
          <w:b/>
          <w:bCs/>
          <w:u w:val="single"/>
          <w:lang w:eastAsia="en-US"/>
        </w:rPr>
      </w:pPr>
      <w:r w:rsidRPr="00B977CB">
        <w:rPr>
          <w:b/>
          <w:bCs/>
          <w:u w:val="single"/>
          <w:lang w:eastAsia="en-US"/>
        </w:rPr>
        <w:t>3.1. Tehniskā projekta izstrādei nepieciešamie dokumenti un materiāli.</w:t>
      </w:r>
    </w:p>
    <w:p w:rsidR="00555270" w:rsidRPr="00B977CB" w:rsidRDefault="00555270" w:rsidP="00555270">
      <w:pPr>
        <w:jc w:val="both"/>
        <w:rPr>
          <w:b/>
          <w:bCs/>
          <w:lang w:eastAsia="en-US"/>
        </w:rPr>
      </w:pPr>
    </w:p>
    <w:p w:rsidR="00555270" w:rsidRPr="00B977CB" w:rsidRDefault="00555270" w:rsidP="00555270">
      <w:pPr>
        <w:ind w:left="420"/>
        <w:jc w:val="both"/>
        <w:rPr>
          <w:lang w:eastAsia="en-US"/>
        </w:rPr>
      </w:pPr>
      <w:r w:rsidRPr="00B977CB">
        <w:rPr>
          <w:lang w:eastAsia="en-US"/>
        </w:rPr>
        <w:t>Izstrādājot Būvprojektu, ir jāievēro:</w:t>
      </w:r>
    </w:p>
    <w:p w:rsidR="00555270" w:rsidRPr="00B977CB" w:rsidRDefault="00555270" w:rsidP="00555270">
      <w:pPr>
        <w:numPr>
          <w:ilvl w:val="0"/>
          <w:numId w:val="5"/>
        </w:numPr>
        <w:jc w:val="both"/>
        <w:rPr>
          <w:lang w:eastAsia="en-US"/>
        </w:rPr>
      </w:pPr>
      <w:r w:rsidRPr="00B977CB">
        <w:rPr>
          <w:lang w:eastAsia="en-US"/>
        </w:rPr>
        <w:t>Tehniskajās specifikācijās norādītās prasības un normatīvi, tai skaitā Pasūtītāja telpu programmas prasības;</w:t>
      </w:r>
    </w:p>
    <w:p w:rsidR="00555270" w:rsidRPr="00B977CB" w:rsidRDefault="00555270" w:rsidP="00555270">
      <w:pPr>
        <w:numPr>
          <w:ilvl w:val="0"/>
          <w:numId w:val="5"/>
        </w:numPr>
        <w:jc w:val="both"/>
        <w:rPr>
          <w:lang w:eastAsia="en-US"/>
        </w:rPr>
      </w:pPr>
      <w:r w:rsidRPr="00B977CB">
        <w:rPr>
          <w:lang w:eastAsia="en-US"/>
        </w:rPr>
        <w:t>Spēkā esošie Latvijas Republikas (turpmāk tekstā – LR) likumi un Ministru kabineta (turpmāk tekstā – MK) noteikumi;</w:t>
      </w:r>
    </w:p>
    <w:p w:rsidR="00555270" w:rsidRPr="00B977CB" w:rsidRDefault="00555270" w:rsidP="00555270">
      <w:pPr>
        <w:numPr>
          <w:ilvl w:val="0"/>
          <w:numId w:val="5"/>
        </w:numPr>
        <w:jc w:val="both"/>
        <w:rPr>
          <w:lang w:eastAsia="en-US"/>
        </w:rPr>
      </w:pPr>
      <w:r w:rsidRPr="00B977CB">
        <w:rPr>
          <w:lang w:eastAsia="en-US"/>
        </w:rPr>
        <w:t>Latvijas būvnormatīvi (turpmāk tekstā –LBN);</w:t>
      </w:r>
    </w:p>
    <w:p w:rsidR="00555270" w:rsidRPr="00B977CB" w:rsidRDefault="00555270" w:rsidP="00555270">
      <w:pPr>
        <w:numPr>
          <w:ilvl w:val="0"/>
          <w:numId w:val="5"/>
        </w:numPr>
        <w:ind w:left="709" w:hanging="289"/>
        <w:jc w:val="both"/>
        <w:rPr>
          <w:lang w:eastAsia="en-US"/>
        </w:rPr>
      </w:pPr>
      <w:r w:rsidRPr="00B977CB">
        <w:rPr>
          <w:lang w:eastAsia="en-US"/>
        </w:rPr>
        <w:t>Latvijas valsts standarti (turpmāk tekstā –LVS), kas norādīti LBN un/vai Tehniskajās specifikācijās;</w:t>
      </w:r>
    </w:p>
    <w:p w:rsidR="00555270" w:rsidRPr="00B977CB" w:rsidRDefault="00555270" w:rsidP="00555270">
      <w:pPr>
        <w:numPr>
          <w:ilvl w:val="0"/>
          <w:numId w:val="5"/>
        </w:numPr>
        <w:ind w:left="709" w:hanging="289"/>
        <w:jc w:val="both"/>
        <w:rPr>
          <w:lang w:eastAsia="en-US"/>
        </w:rPr>
      </w:pPr>
      <w:r w:rsidRPr="00B977CB">
        <w:rPr>
          <w:lang w:eastAsia="en-US"/>
        </w:rPr>
        <w:t>Jelgavas pilsētas saistošie noteikumi Nr.09-11 (apstiprināti ar Jelgavas pilsētas domes 29.09.2009. lēmumu Nr.14/2);</w:t>
      </w:r>
    </w:p>
    <w:p w:rsidR="00555270" w:rsidRPr="00B977CB" w:rsidRDefault="00555270" w:rsidP="00555270">
      <w:pPr>
        <w:numPr>
          <w:ilvl w:val="0"/>
          <w:numId w:val="5"/>
        </w:numPr>
        <w:ind w:left="709" w:hanging="289"/>
        <w:jc w:val="both"/>
        <w:rPr>
          <w:lang w:eastAsia="en-US"/>
        </w:rPr>
      </w:pPr>
      <w:r w:rsidRPr="00B977CB">
        <w:rPr>
          <w:lang w:eastAsia="en-US"/>
        </w:rPr>
        <w:t>Citi LR spēkā esošie normatīvie akti un ES standarti;</w:t>
      </w:r>
    </w:p>
    <w:p w:rsidR="00555270" w:rsidRPr="00B977CB" w:rsidRDefault="00555270" w:rsidP="00555270">
      <w:pPr>
        <w:numPr>
          <w:ilvl w:val="0"/>
          <w:numId w:val="5"/>
        </w:numPr>
        <w:ind w:left="709" w:hanging="289"/>
        <w:jc w:val="both"/>
        <w:rPr>
          <w:lang w:eastAsia="en-US"/>
        </w:rPr>
      </w:pPr>
      <w:r w:rsidRPr="00B977CB">
        <w:rPr>
          <w:lang w:eastAsia="en-US"/>
        </w:rPr>
        <w:t>Valsts, pašvaldības un citu institūciju izdotie tehniskie un īpašie noteikumi;</w:t>
      </w:r>
    </w:p>
    <w:p w:rsidR="00555270" w:rsidRPr="00B977CB" w:rsidRDefault="00555270" w:rsidP="00555270">
      <w:pPr>
        <w:ind w:left="420"/>
        <w:jc w:val="both"/>
        <w:rPr>
          <w:lang w:eastAsia="en-US"/>
        </w:rPr>
      </w:pPr>
      <w:r w:rsidRPr="00B977CB">
        <w:rPr>
          <w:lang w:eastAsia="en-US"/>
        </w:rPr>
        <w:t>Ja iepriekš uzskaitītie dokumenti nereglamentē kādas prasības, tad var izmantot citus normatīvus, kas nav pretrunā ar Eiropas standartizācijas organizācijas standartiem un LR spēkā esošajām normām.</w:t>
      </w:r>
    </w:p>
    <w:p w:rsidR="00555270" w:rsidRPr="00B977CB" w:rsidRDefault="00555270" w:rsidP="00555270">
      <w:pPr>
        <w:jc w:val="both"/>
        <w:rPr>
          <w:lang w:eastAsia="en-US"/>
        </w:rPr>
      </w:pPr>
    </w:p>
    <w:p w:rsidR="00555270" w:rsidRPr="00B977CB" w:rsidRDefault="00555270" w:rsidP="00555270">
      <w:pPr>
        <w:jc w:val="both"/>
        <w:rPr>
          <w:b/>
          <w:u w:val="single"/>
          <w:lang w:eastAsia="en-US"/>
        </w:rPr>
      </w:pPr>
      <w:r w:rsidRPr="00B977CB">
        <w:rPr>
          <w:b/>
          <w:u w:val="single"/>
          <w:lang w:eastAsia="en-US"/>
        </w:rPr>
        <w:t>3.2. Būvprojektā (BP) ietveramie darbi.</w:t>
      </w:r>
    </w:p>
    <w:p w:rsidR="00555270" w:rsidRPr="00B977CB" w:rsidRDefault="00555270" w:rsidP="00555270">
      <w:pPr>
        <w:ind w:left="420"/>
        <w:jc w:val="both"/>
        <w:rPr>
          <w:lang w:eastAsia="en-US"/>
        </w:rPr>
      </w:pPr>
      <w:r w:rsidRPr="00B977CB">
        <w:rPr>
          <w:lang w:eastAsia="en-US"/>
        </w:rPr>
        <w:t xml:space="preserve"> </w:t>
      </w:r>
    </w:p>
    <w:p w:rsidR="00555270" w:rsidRPr="00B977CB" w:rsidRDefault="00555270" w:rsidP="00555270">
      <w:pPr>
        <w:jc w:val="both"/>
        <w:rPr>
          <w:bCs/>
          <w:u w:val="single"/>
          <w:lang w:eastAsia="en-US"/>
        </w:rPr>
      </w:pPr>
      <w:r w:rsidRPr="00B977CB">
        <w:rPr>
          <w:bCs/>
          <w:u w:val="single"/>
          <w:lang w:eastAsia="en-US"/>
        </w:rPr>
        <w:t>3.2.1. Arhitektūras daļa:</w:t>
      </w:r>
    </w:p>
    <w:p w:rsidR="00555270" w:rsidRPr="00B977CB" w:rsidRDefault="00555270" w:rsidP="00555270">
      <w:pPr>
        <w:ind w:left="360"/>
        <w:jc w:val="both"/>
        <w:rPr>
          <w:bCs/>
          <w:u w:val="single"/>
          <w:lang w:eastAsia="en-US"/>
        </w:rPr>
      </w:pPr>
      <w:r w:rsidRPr="00B977CB">
        <w:rPr>
          <w:bCs/>
          <w:lang w:eastAsia="en-US"/>
        </w:rPr>
        <w:t xml:space="preserve">  </w:t>
      </w:r>
      <w:r w:rsidRPr="00B977CB">
        <w:rPr>
          <w:bCs/>
          <w:u w:val="single"/>
          <w:lang w:eastAsia="en-US"/>
        </w:rPr>
        <w:t>teritorijas sadaļa (</w:t>
      </w:r>
      <w:proofErr w:type="spellStart"/>
      <w:r w:rsidRPr="00B977CB">
        <w:rPr>
          <w:bCs/>
          <w:u w:val="single"/>
          <w:lang w:eastAsia="en-US"/>
        </w:rPr>
        <w:t>ģenplāns</w:t>
      </w:r>
      <w:proofErr w:type="spellEnd"/>
      <w:r w:rsidRPr="00B977CB">
        <w:rPr>
          <w:bCs/>
          <w:u w:val="single"/>
          <w:lang w:eastAsia="en-US"/>
        </w:rPr>
        <w:t>) – ĢP</w:t>
      </w:r>
    </w:p>
    <w:p w:rsidR="00555270" w:rsidRPr="00B977CB" w:rsidRDefault="00555270" w:rsidP="00555270">
      <w:pPr>
        <w:numPr>
          <w:ilvl w:val="0"/>
          <w:numId w:val="5"/>
        </w:numPr>
        <w:ind w:left="420"/>
        <w:jc w:val="both"/>
        <w:rPr>
          <w:bCs/>
          <w:lang w:eastAsia="en-US"/>
        </w:rPr>
      </w:pPr>
      <w:r w:rsidRPr="00B977CB">
        <w:rPr>
          <w:bCs/>
          <w:lang w:eastAsia="en-US"/>
        </w:rPr>
        <w:t xml:space="preserve">Stadiona, āra trenažieru laukuma, </w:t>
      </w:r>
      <w:proofErr w:type="spellStart"/>
      <w:r w:rsidRPr="00B977CB">
        <w:rPr>
          <w:bCs/>
          <w:lang w:eastAsia="en-US"/>
        </w:rPr>
        <w:t>multifunkcionāla</w:t>
      </w:r>
      <w:proofErr w:type="spellEnd"/>
      <w:r w:rsidRPr="00B977CB">
        <w:rPr>
          <w:bCs/>
          <w:lang w:eastAsia="en-US"/>
        </w:rPr>
        <w:t xml:space="preserve"> laukuma, basketbola laukuma izbūve. Sēdvietu izbūve ar 60 soliņiem. </w:t>
      </w:r>
      <w:proofErr w:type="spellStart"/>
      <w:r w:rsidRPr="00B977CB">
        <w:rPr>
          <w:bCs/>
          <w:lang w:eastAsia="en-US"/>
        </w:rPr>
        <w:t>Tāllēkšanas</w:t>
      </w:r>
      <w:proofErr w:type="spellEnd"/>
      <w:r w:rsidRPr="00B977CB">
        <w:rPr>
          <w:bCs/>
          <w:lang w:eastAsia="en-US"/>
        </w:rPr>
        <w:t xml:space="preserve"> sektora un lodes grūšanas sektora izbūve. Stadiona izmēri precizējami projektēšanas gaitā. Visiem laukumiem un skrejceļiem </w:t>
      </w:r>
      <w:r w:rsidRPr="00B977CB">
        <w:rPr>
          <w:bCs/>
          <w:lang w:eastAsia="en-US"/>
        </w:rPr>
        <w:lastRenderedPageBreak/>
        <w:t>paredzēt sintētisko segumu. Stadiona skrejceļam plānot 4 celiņus pa apli. Apļveida celiņus projektēt salāgojot ar 120m skrējiena taisni. Marķējums celiņiem, distancēm. Atkritumu urnas un velosipēdu novietnes.</w:t>
      </w:r>
    </w:p>
    <w:p w:rsidR="00555270" w:rsidRPr="00B977CB" w:rsidRDefault="00555270" w:rsidP="00555270">
      <w:pPr>
        <w:ind w:left="426"/>
        <w:jc w:val="both"/>
        <w:rPr>
          <w:bCs/>
          <w:lang w:eastAsia="en-US"/>
        </w:rPr>
      </w:pPr>
    </w:p>
    <w:p w:rsidR="00555270" w:rsidRPr="00B977CB" w:rsidRDefault="00555270" w:rsidP="00555270">
      <w:pPr>
        <w:ind w:left="426"/>
        <w:jc w:val="both"/>
        <w:rPr>
          <w:bCs/>
          <w:lang w:eastAsia="en-US"/>
        </w:rPr>
      </w:pPr>
      <w:r w:rsidRPr="00B977CB">
        <w:rPr>
          <w:bCs/>
          <w:lang w:eastAsia="en-US"/>
        </w:rPr>
        <w:t>Projektēšanas sākuma stadijā saskaņot stadiona, celiņu, sektoru, laukumu u.c. elementu</w:t>
      </w:r>
    </w:p>
    <w:p w:rsidR="00555270" w:rsidRPr="00B977CB" w:rsidRDefault="00555270" w:rsidP="00555270">
      <w:pPr>
        <w:ind w:left="426"/>
        <w:jc w:val="both"/>
        <w:rPr>
          <w:bCs/>
          <w:lang w:eastAsia="en-US"/>
        </w:rPr>
      </w:pPr>
      <w:r w:rsidRPr="00B977CB">
        <w:rPr>
          <w:bCs/>
          <w:lang w:eastAsia="en-US"/>
        </w:rPr>
        <w:t>izvietojumu plānu ar Pasūtītāju.</w:t>
      </w:r>
    </w:p>
    <w:p w:rsidR="00555270" w:rsidRPr="00B977CB" w:rsidRDefault="00555270" w:rsidP="00555270">
      <w:pPr>
        <w:ind w:left="426"/>
        <w:jc w:val="both"/>
        <w:rPr>
          <w:bCs/>
          <w:lang w:eastAsia="en-US"/>
        </w:rPr>
      </w:pPr>
    </w:p>
    <w:p w:rsidR="00555270" w:rsidRPr="00B977CB" w:rsidRDefault="00555270" w:rsidP="00555270">
      <w:pPr>
        <w:ind w:left="420"/>
        <w:jc w:val="both"/>
        <w:rPr>
          <w:bCs/>
          <w:lang w:eastAsia="en-US"/>
        </w:rPr>
      </w:pPr>
      <w:r w:rsidRPr="00B977CB">
        <w:rPr>
          <w:bCs/>
          <w:u w:val="single"/>
          <w:lang w:eastAsia="en-US"/>
        </w:rPr>
        <w:t>arhitektūras risinājumi – AR</w:t>
      </w:r>
      <w:r w:rsidRPr="00B977CB">
        <w:rPr>
          <w:bCs/>
          <w:lang w:eastAsia="en-US"/>
        </w:rPr>
        <w:t xml:space="preserve">. </w:t>
      </w:r>
    </w:p>
    <w:p w:rsidR="00555270" w:rsidRPr="00B977CB" w:rsidRDefault="00555270" w:rsidP="00555270">
      <w:pPr>
        <w:ind w:left="420"/>
        <w:jc w:val="both"/>
        <w:rPr>
          <w:bCs/>
          <w:lang w:eastAsia="en-US"/>
        </w:rPr>
      </w:pPr>
      <w:r w:rsidRPr="00B977CB">
        <w:rPr>
          <w:bCs/>
          <w:lang w:eastAsia="en-US"/>
        </w:rPr>
        <w:t>Konteinera (3 gab.) tipa mājiņu izbūve. Atsevišķi dušām un ģērbtuvēm, WC telpām un inventāra uzglabāšanai. WC telpā nepieciešami 8gab. klozetpodi un roku mazgātnes. Ģērbtuvē nepieciešami 25 gab. skapīši meitenēm un 25 gab. skapīši zēniem. Nodrošināt vides pieejamības prasības cilvēkiem ar īpašām vajadzībām;</w:t>
      </w:r>
    </w:p>
    <w:p w:rsidR="00555270" w:rsidRPr="00B977CB" w:rsidRDefault="00555270" w:rsidP="00555270">
      <w:pPr>
        <w:jc w:val="both"/>
        <w:rPr>
          <w:bCs/>
          <w:lang w:eastAsia="en-US"/>
        </w:rPr>
      </w:pPr>
      <w:r w:rsidRPr="00B977CB">
        <w:rPr>
          <w:bCs/>
          <w:u w:val="single"/>
          <w:lang w:eastAsia="en-US"/>
        </w:rPr>
        <w:t>3.2.2.Būvkonstrukcijas</w:t>
      </w:r>
    </w:p>
    <w:p w:rsidR="00555270" w:rsidRPr="00B977CB" w:rsidRDefault="00555270" w:rsidP="00555270">
      <w:pPr>
        <w:ind w:left="600"/>
        <w:jc w:val="both"/>
        <w:rPr>
          <w:bCs/>
          <w:lang w:eastAsia="en-US"/>
        </w:rPr>
      </w:pPr>
      <w:r w:rsidRPr="00B977CB">
        <w:rPr>
          <w:bCs/>
          <w:lang w:eastAsia="en-US"/>
        </w:rPr>
        <w:t>Atbilstoši arhitektūras risinājumiem un darba uzdevumam projektēt konstrukciju izbūvi.</w:t>
      </w:r>
    </w:p>
    <w:p w:rsidR="00555270" w:rsidRPr="00B977CB" w:rsidRDefault="00555270" w:rsidP="00555270">
      <w:pPr>
        <w:ind w:left="426" w:hanging="426"/>
        <w:jc w:val="both"/>
        <w:rPr>
          <w:bCs/>
          <w:u w:val="single"/>
          <w:lang w:eastAsia="en-US"/>
        </w:rPr>
      </w:pPr>
      <w:r w:rsidRPr="00B977CB">
        <w:rPr>
          <w:bCs/>
          <w:u w:val="single"/>
          <w:lang w:eastAsia="en-US"/>
        </w:rPr>
        <w:t>3.2.4.Ūdensapgāde.</w:t>
      </w:r>
    </w:p>
    <w:p w:rsidR="00555270" w:rsidRPr="00B977CB" w:rsidRDefault="00555270" w:rsidP="00555270">
      <w:pPr>
        <w:ind w:left="426" w:hanging="426"/>
        <w:jc w:val="both"/>
        <w:rPr>
          <w:bCs/>
          <w:lang w:eastAsia="en-US"/>
        </w:rPr>
      </w:pPr>
      <w:r w:rsidRPr="00B977CB">
        <w:rPr>
          <w:bCs/>
          <w:lang w:eastAsia="en-US"/>
        </w:rPr>
        <w:t xml:space="preserve">       Iekšējo un ārējo ūdensapgādes tīklu izbūve ģērbtuvēm un WC telpām.</w:t>
      </w:r>
    </w:p>
    <w:p w:rsidR="00555270" w:rsidRPr="00B977CB" w:rsidRDefault="00555270" w:rsidP="00555270">
      <w:pPr>
        <w:ind w:left="426" w:hanging="426"/>
        <w:jc w:val="both"/>
        <w:rPr>
          <w:bCs/>
          <w:u w:val="single"/>
          <w:lang w:eastAsia="en-US"/>
        </w:rPr>
      </w:pPr>
      <w:r w:rsidRPr="00B977CB">
        <w:rPr>
          <w:bCs/>
          <w:u w:val="single"/>
          <w:lang w:eastAsia="en-US"/>
        </w:rPr>
        <w:t>3.2.5.Kanalizācija.</w:t>
      </w:r>
    </w:p>
    <w:p w:rsidR="00555270" w:rsidRPr="00B977CB" w:rsidRDefault="00555270" w:rsidP="00555270">
      <w:pPr>
        <w:ind w:left="426"/>
        <w:jc w:val="both"/>
        <w:rPr>
          <w:bCs/>
          <w:lang w:eastAsia="en-US"/>
        </w:rPr>
      </w:pPr>
      <w:r w:rsidRPr="00B977CB">
        <w:rPr>
          <w:bCs/>
          <w:lang w:eastAsia="en-US"/>
        </w:rPr>
        <w:t xml:space="preserve"> Iekšējo un ārējo kanalizācijas tīklu izbūve ģērbtuvēm un WC telpām.</w:t>
      </w:r>
    </w:p>
    <w:p w:rsidR="00555270" w:rsidRPr="00B977CB" w:rsidRDefault="00555270" w:rsidP="00555270">
      <w:pPr>
        <w:ind w:left="426" w:hanging="426"/>
        <w:jc w:val="both"/>
        <w:rPr>
          <w:bCs/>
          <w:u w:val="single"/>
          <w:lang w:eastAsia="en-US"/>
        </w:rPr>
      </w:pPr>
      <w:r w:rsidRPr="00B977CB">
        <w:rPr>
          <w:bCs/>
          <w:u w:val="single"/>
          <w:lang w:eastAsia="en-US"/>
        </w:rPr>
        <w:t>3.2.6.Lietus kanalizācija</w:t>
      </w:r>
    </w:p>
    <w:p w:rsidR="00555270" w:rsidRPr="00B977CB" w:rsidRDefault="00555270" w:rsidP="00555270">
      <w:pPr>
        <w:ind w:left="426" w:hanging="426"/>
        <w:jc w:val="both"/>
        <w:rPr>
          <w:bCs/>
          <w:lang w:eastAsia="en-US"/>
        </w:rPr>
      </w:pPr>
      <w:r w:rsidRPr="00B977CB">
        <w:rPr>
          <w:bCs/>
          <w:lang w:eastAsia="en-US"/>
        </w:rPr>
        <w:tab/>
        <w:t xml:space="preserve">Lietus ūdens kanalizācijas un drenāžas sistēmas izbūve visiem sporta laukumiem. </w:t>
      </w:r>
    </w:p>
    <w:p w:rsidR="00555270" w:rsidRPr="00B977CB" w:rsidRDefault="00555270" w:rsidP="00555270">
      <w:pPr>
        <w:ind w:left="426" w:hanging="426"/>
        <w:jc w:val="both"/>
        <w:rPr>
          <w:bCs/>
          <w:lang w:eastAsia="en-US"/>
        </w:rPr>
      </w:pPr>
      <w:r w:rsidRPr="00B977CB">
        <w:rPr>
          <w:bCs/>
          <w:u w:val="single"/>
          <w:lang w:eastAsia="en-US"/>
        </w:rPr>
        <w:t>3.2.7.Elektroapgāde</w:t>
      </w:r>
      <w:r w:rsidRPr="00B977CB">
        <w:rPr>
          <w:bCs/>
          <w:lang w:eastAsia="en-US"/>
        </w:rPr>
        <w:t xml:space="preserve">. </w:t>
      </w:r>
    </w:p>
    <w:p w:rsidR="00555270" w:rsidRPr="00B977CB" w:rsidRDefault="00555270" w:rsidP="00555270">
      <w:pPr>
        <w:ind w:left="426"/>
        <w:jc w:val="both"/>
        <w:rPr>
          <w:bCs/>
          <w:lang w:eastAsia="en-US"/>
        </w:rPr>
      </w:pPr>
      <w:r w:rsidRPr="00B977CB">
        <w:rPr>
          <w:bCs/>
          <w:lang w:eastAsia="en-US"/>
        </w:rPr>
        <w:t xml:space="preserve">Iekšējo elektrotīklu izbūve ģērbtuvēm, WC  un inventāra telpām. Telpu apsilde. Teritorijas apgaismojuma izbūve. </w:t>
      </w:r>
    </w:p>
    <w:p w:rsidR="00555270" w:rsidRPr="00B977CB" w:rsidRDefault="00555270" w:rsidP="00555270">
      <w:pPr>
        <w:ind w:left="426" w:hanging="426"/>
        <w:jc w:val="both"/>
        <w:rPr>
          <w:bCs/>
          <w:lang w:eastAsia="en-US"/>
        </w:rPr>
      </w:pPr>
      <w:r w:rsidRPr="00B977CB">
        <w:rPr>
          <w:bCs/>
          <w:lang w:eastAsia="en-US"/>
        </w:rPr>
        <w:t xml:space="preserve">       </w:t>
      </w:r>
    </w:p>
    <w:p w:rsidR="00555270" w:rsidRPr="00B977CB" w:rsidRDefault="00555270" w:rsidP="00555270">
      <w:pPr>
        <w:ind w:left="426" w:hanging="426"/>
        <w:jc w:val="both"/>
        <w:rPr>
          <w:bCs/>
          <w:u w:val="single"/>
          <w:lang w:eastAsia="en-US"/>
        </w:rPr>
      </w:pPr>
      <w:r w:rsidRPr="00B977CB">
        <w:rPr>
          <w:bCs/>
          <w:u w:val="single"/>
          <w:lang w:eastAsia="en-US"/>
        </w:rPr>
        <w:t>3.2.9.Automātiskā ugunsgrēka atklāšanas un trauksmes signalizācijas sistēma.</w:t>
      </w:r>
    </w:p>
    <w:p w:rsidR="00555270" w:rsidRPr="00B977CB" w:rsidRDefault="00555270" w:rsidP="00555270">
      <w:pPr>
        <w:ind w:left="426" w:hanging="426"/>
        <w:jc w:val="both"/>
        <w:rPr>
          <w:bCs/>
          <w:lang w:eastAsia="en-US"/>
        </w:rPr>
      </w:pPr>
      <w:r w:rsidRPr="00B977CB">
        <w:rPr>
          <w:bCs/>
          <w:lang w:eastAsia="en-US"/>
        </w:rPr>
        <w:t xml:space="preserve">       Automātiskās ugunsgrēka atklāšanas un trauksmes signalizācijas sistēmu izbūve saskaņā ar standartu LVS CEN/TS 54-14: 2004 „Ugunsgrēka uztveršanas un ugunsgrēka signalizācijas sistēmas. 14.daļa: „Norādījumi plānošanai, projektēšanai, montāžai, nodošanai ekspluatācijā, lietošanai un ekspluatācijai” vai ekvivalentu.</w:t>
      </w:r>
    </w:p>
    <w:p w:rsidR="00555270" w:rsidRPr="00B977CB" w:rsidRDefault="00555270" w:rsidP="00555270">
      <w:pPr>
        <w:ind w:left="426" w:hanging="426"/>
        <w:jc w:val="both"/>
        <w:rPr>
          <w:bCs/>
          <w:lang w:eastAsia="en-US"/>
        </w:rPr>
      </w:pPr>
      <w:r w:rsidRPr="00B977CB">
        <w:rPr>
          <w:bCs/>
          <w:lang w:eastAsia="en-US"/>
        </w:rPr>
        <w:t xml:space="preserve">       </w:t>
      </w:r>
    </w:p>
    <w:p w:rsidR="00555270" w:rsidRPr="00B977CB" w:rsidRDefault="00555270" w:rsidP="00555270">
      <w:pPr>
        <w:ind w:left="426" w:hanging="426"/>
        <w:jc w:val="both"/>
        <w:rPr>
          <w:bCs/>
          <w:u w:val="single"/>
          <w:lang w:eastAsia="en-US"/>
        </w:rPr>
      </w:pPr>
      <w:r w:rsidRPr="00B977CB">
        <w:rPr>
          <w:bCs/>
          <w:u w:val="single"/>
          <w:lang w:eastAsia="en-US"/>
        </w:rPr>
        <w:t>3.2.10.Apsardzes signalizācijas sistēma.</w:t>
      </w:r>
    </w:p>
    <w:p w:rsidR="00555270" w:rsidRPr="00B977CB" w:rsidRDefault="00555270" w:rsidP="00555270">
      <w:pPr>
        <w:ind w:left="426" w:hanging="426"/>
        <w:jc w:val="both"/>
        <w:rPr>
          <w:bCs/>
          <w:lang w:eastAsia="en-US"/>
        </w:rPr>
      </w:pPr>
      <w:r w:rsidRPr="00B977CB">
        <w:rPr>
          <w:bCs/>
          <w:lang w:eastAsia="en-US"/>
        </w:rPr>
        <w:t xml:space="preserve">       Apsardzes signalizācijas sistēmu projektē, lai nodrošinātu trauksmes signāla pārraidi uz apsardzes pakalpojuma sniedzēja diennakts apsardzes pulti. </w:t>
      </w:r>
    </w:p>
    <w:p w:rsidR="00555270" w:rsidRPr="00B977CB" w:rsidRDefault="00555270" w:rsidP="00555270">
      <w:pPr>
        <w:ind w:left="426" w:hanging="426"/>
        <w:jc w:val="both"/>
        <w:rPr>
          <w:bCs/>
          <w:lang w:eastAsia="en-US"/>
        </w:rPr>
      </w:pPr>
      <w:r w:rsidRPr="00B977CB">
        <w:rPr>
          <w:bCs/>
          <w:lang w:eastAsia="en-US"/>
        </w:rPr>
        <w:t xml:space="preserve">       </w:t>
      </w:r>
    </w:p>
    <w:p w:rsidR="00555270" w:rsidRPr="00B977CB" w:rsidRDefault="00555270" w:rsidP="00555270">
      <w:pPr>
        <w:ind w:left="426" w:hanging="426"/>
        <w:jc w:val="both"/>
        <w:rPr>
          <w:bCs/>
          <w:u w:val="single"/>
          <w:lang w:eastAsia="en-US"/>
        </w:rPr>
      </w:pPr>
      <w:r w:rsidRPr="00B977CB">
        <w:rPr>
          <w:bCs/>
          <w:u w:val="single"/>
          <w:lang w:eastAsia="en-US"/>
        </w:rPr>
        <w:t>3.2.11. Videonovērošanas sistēma</w:t>
      </w:r>
    </w:p>
    <w:p w:rsidR="00555270" w:rsidRPr="00B977CB" w:rsidRDefault="00555270" w:rsidP="00555270">
      <w:pPr>
        <w:jc w:val="both"/>
        <w:rPr>
          <w:bCs/>
          <w:lang w:eastAsia="en-US"/>
        </w:rPr>
      </w:pPr>
      <w:r w:rsidRPr="00B977CB">
        <w:rPr>
          <w:bCs/>
          <w:lang w:eastAsia="en-US"/>
        </w:rPr>
        <w:t>Videonovērošanas sistēmas projektēšana, paredzot pieslēgt iestādes operatora     pultīm. Jelgavas pilsētas pašvaldība videonovērošanas kameru vadībai un datu arhīvam izmanto „</w:t>
      </w:r>
      <w:proofErr w:type="spellStart"/>
      <w:r w:rsidRPr="00B977CB">
        <w:rPr>
          <w:bCs/>
          <w:lang w:eastAsia="en-US"/>
        </w:rPr>
        <w:t>Alnet</w:t>
      </w:r>
      <w:proofErr w:type="spellEnd"/>
      <w:r w:rsidRPr="00B977CB">
        <w:rPr>
          <w:bCs/>
          <w:lang w:eastAsia="en-US"/>
        </w:rPr>
        <w:t xml:space="preserve"> </w:t>
      </w:r>
      <w:proofErr w:type="spellStart"/>
      <w:r w:rsidRPr="00B977CB">
        <w:rPr>
          <w:bCs/>
          <w:lang w:eastAsia="en-US"/>
        </w:rPr>
        <w:t>Systems</w:t>
      </w:r>
      <w:proofErr w:type="spellEnd"/>
      <w:r w:rsidRPr="00B977CB">
        <w:rPr>
          <w:bCs/>
          <w:lang w:eastAsia="en-US"/>
        </w:rPr>
        <w:t xml:space="preserve"> </w:t>
      </w:r>
      <w:proofErr w:type="spellStart"/>
      <w:r w:rsidRPr="00B977CB">
        <w:rPr>
          <w:bCs/>
          <w:lang w:eastAsia="en-US"/>
        </w:rPr>
        <w:t>Inc</w:t>
      </w:r>
      <w:proofErr w:type="spellEnd"/>
      <w:r w:rsidRPr="00B977CB">
        <w:rPr>
          <w:bCs/>
          <w:lang w:eastAsia="en-US"/>
        </w:rPr>
        <w:t>.” servera un klienta programmatūru. Videonovērošanas kamerām jābūt iekļautām „</w:t>
      </w:r>
      <w:proofErr w:type="spellStart"/>
      <w:r w:rsidRPr="00B977CB">
        <w:rPr>
          <w:bCs/>
          <w:lang w:eastAsia="en-US"/>
        </w:rPr>
        <w:t>Alnet</w:t>
      </w:r>
      <w:proofErr w:type="spellEnd"/>
      <w:r w:rsidRPr="00B977CB">
        <w:rPr>
          <w:bCs/>
          <w:lang w:eastAsia="en-US"/>
        </w:rPr>
        <w:t xml:space="preserve"> </w:t>
      </w:r>
      <w:proofErr w:type="spellStart"/>
      <w:r w:rsidRPr="00B977CB">
        <w:rPr>
          <w:bCs/>
          <w:lang w:eastAsia="en-US"/>
        </w:rPr>
        <w:t>Systems</w:t>
      </w:r>
      <w:proofErr w:type="spellEnd"/>
      <w:r w:rsidRPr="00B977CB">
        <w:rPr>
          <w:bCs/>
          <w:lang w:eastAsia="en-US"/>
        </w:rPr>
        <w:t xml:space="preserve"> </w:t>
      </w:r>
      <w:proofErr w:type="spellStart"/>
      <w:r w:rsidRPr="00B977CB">
        <w:rPr>
          <w:bCs/>
          <w:lang w:eastAsia="en-US"/>
        </w:rPr>
        <w:t>Inc</w:t>
      </w:r>
      <w:proofErr w:type="spellEnd"/>
      <w:r w:rsidRPr="00B977CB">
        <w:rPr>
          <w:bCs/>
          <w:lang w:eastAsia="en-US"/>
        </w:rPr>
        <w:t xml:space="preserve">.” sertificēto kameru sarakstā: </w:t>
      </w:r>
    </w:p>
    <w:p w:rsidR="00555270" w:rsidRPr="00B977CB" w:rsidRDefault="008B517B" w:rsidP="00555270">
      <w:pPr>
        <w:jc w:val="both"/>
        <w:rPr>
          <w:bCs/>
          <w:lang w:eastAsia="en-US"/>
        </w:rPr>
      </w:pPr>
      <w:hyperlink r:id="rId6" w:history="1">
        <w:r w:rsidR="00555270" w:rsidRPr="00B977CB">
          <w:rPr>
            <w:bCs/>
            <w:lang w:eastAsia="en-US"/>
          </w:rPr>
          <w:t>http://www.alnetbaltic.com/products/supported-ip-cameras/</w:t>
        </w:r>
      </w:hyperlink>
      <w:r w:rsidR="00555270" w:rsidRPr="00B977CB">
        <w:rPr>
          <w:bCs/>
          <w:lang w:eastAsia="en-US"/>
        </w:rPr>
        <w:t>. Videonovērošanas serveru tehniskā specifikācija un videonovērošanas programmatūra jāsaskaņo ar Jelgavas pilsētas Domes administrācijas IT pārvaldi.</w:t>
      </w:r>
    </w:p>
    <w:p w:rsidR="00555270" w:rsidRPr="00B977CB" w:rsidRDefault="00555270" w:rsidP="00555270">
      <w:pPr>
        <w:ind w:left="426" w:hanging="426"/>
        <w:jc w:val="both"/>
        <w:rPr>
          <w:bCs/>
          <w:u w:val="single"/>
          <w:lang w:eastAsia="en-US"/>
        </w:rPr>
      </w:pPr>
      <w:r w:rsidRPr="00B977CB">
        <w:rPr>
          <w:bCs/>
          <w:u w:val="single"/>
          <w:lang w:eastAsia="en-US"/>
        </w:rPr>
        <w:t>3.2.13.Ventilācija</w:t>
      </w:r>
    </w:p>
    <w:p w:rsidR="002E2E7D" w:rsidRDefault="00555270" w:rsidP="00555270">
      <w:pPr>
        <w:ind w:left="426" w:hanging="426"/>
        <w:jc w:val="both"/>
        <w:rPr>
          <w:bCs/>
          <w:lang w:eastAsia="en-US"/>
        </w:rPr>
      </w:pPr>
      <w:r w:rsidRPr="00B977CB">
        <w:rPr>
          <w:bCs/>
          <w:lang w:eastAsia="en-US"/>
        </w:rPr>
        <w:t xml:space="preserve">      Paredzēt piespiedu ventilāciju ar gaisa piegādi un nosūci dušas telpās un WC telpās.</w:t>
      </w:r>
    </w:p>
    <w:p w:rsidR="002E2E7D" w:rsidRDefault="002E2E7D" w:rsidP="00555270">
      <w:pPr>
        <w:ind w:left="426" w:hanging="426"/>
        <w:jc w:val="both"/>
        <w:rPr>
          <w:bCs/>
          <w:lang w:eastAsia="en-US"/>
        </w:rPr>
      </w:pPr>
    </w:p>
    <w:p w:rsidR="00555270" w:rsidRPr="00B977CB" w:rsidRDefault="00555270" w:rsidP="00555270">
      <w:pPr>
        <w:ind w:left="426" w:hanging="426"/>
        <w:jc w:val="both"/>
        <w:rPr>
          <w:b/>
          <w:bCs/>
          <w:u w:val="single"/>
          <w:lang w:eastAsia="en-US"/>
        </w:rPr>
      </w:pPr>
      <w:r w:rsidRPr="00B977CB">
        <w:rPr>
          <w:b/>
          <w:bCs/>
          <w:u w:val="single"/>
          <w:lang w:eastAsia="en-US"/>
        </w:rPr>
        <w:t>3.4. Prasības pielietojamajiem materiāliem, iekārtām un mehānismiem.</w:t>
      </w:r>
    </w:p>
    <w:p w:rsidR="00555270" w:rsidRPr="00B977CB" w:rsidRDefault="00555270" w:rsidP="00555270">
      <w:pPr>
        <w:jc w:val="both"/>
        <w:rPr>
          <w:b/>
          <w:bCs/>
          <w:lang w:eastAsia="en-US"/>
        </w:rPr>
      </w:pPr>
    </w:p>
    <w:p w:rsidR="00555270" w:rsidRPr="00B977CB" w:rsidRDefault="00555270" w:rsidP="002E2E7D">
      <w:pPr>
        <w:jc w:val="both"/>
        <w:rPr>
          <w:lang w:eastAsia="en-US"/>
        </w:rPr>
      </w:pPr>
      <w:r w:rsidRPr="00B977CB">
        <w:rPr>
          <w:lang w:eastAsia="en-US"/>
        </w:rPr>
        <w:t xml:space="preserve">Pretendentam jānodrošina, lai Būvprojektā tiktu iekļauti materiāli, risinājumi un iekārtas, kuriem pēc iespējas pieejams ekvivalents variants. Pretendentam ir pienākums informēt Pasūtītāju par alternatīvām iespējām un, veicot to </w:t>
      </w:r>
      <w:proofErr w:type="spellStart"/>
      <w:r w:rsidRPr="00B977CB">
        <w:rPr>
          <w:lang w:eastAsia="en-US"/>
        </w:rPr>
        <w:t>izvērtējumu</w:t>
      </w:r>
      <w:proofErr w:type="spellEnd"/>
      <w:r w:rsidRPr="00B977CB">
        <w:rPr>
          <w:lang w:eastAsia="en-US"/>
        </w:rPr>
        <w:t>, saskaņot ar Pasūtītāju konkrētai situācijas vispiemērotāko.</w:t>
      </w:r>
    </w:p>
    <w:p w:rsidR="00555270" w:rsidRPr="00B977CB" w:rsidRDefault="00555270" w:rsidP="002E2E7D">
      <w:pPr>
        <w:jc w:val="both"/>
        <w:rPr>
          <w:lang w:eastAsia="en-US"/>
        </w:rPr>
      </w:pPr>
      <w:r w:rsidRPr="00B977CB">
        <w:rPr>
          <w:lang w:eastAsia="en-US"/>
        </w:rPr>
        <w:lastRenderedPageBreak/>
        <w:t xml:space="preserve">Pretendentam jānodrošina, lai tehniskie risinājumi ir savstarpēji saskaņoti visās Būvprojekta sadaļās, piemēram, arhitektūras – būvkonstrukciju, ūdensapgādes, kanalizācijas, vēdināšanas, elektroapgādes, vājstrāvu tīklu u.c. sadaļās. Būvprojekta sadaļu savstarpējā saskaņošana ietver sistēmu novietojumu, krustošanas vietu noteikšanu un savietojamību. Būvprojektā jānorāda nepieciešamie augstumi zem mehāniskajām, elektroapgādes un vājstrāvas instalācijām, attālumi no sienām vai griestiem. </w:t>
      </w:r>
    </w:p>
    <w:p w:rsidR="00555270" w:rsidRPr="00B977CB" w:rsidRDefault="00555270" w:rsidP="002E2E7D">
      <w:pPr>
        <w:jc w:val="both"/>
        <w:rPr>
          <w:lang w:eastAsia="en-US"/>
        </w:rPr>
      </w:pPr>
      <w:r w:rsidRPr="00B977CB">
        <w:rPr>
          <w:lang w:eastAsia="en-US"/>
        </w:rPr>
        <w:t xml:space="preserve">       Visas projektējamās sistēmas, ierīces un iekārtas ir jāparedz aprīkot ar drošai ekspluatācijai nepieciešamo tehnisko armatūru, tādu kā </w:t>
      </w:r>
      <w:proofErr w:type="spellStart"/>
      <w:r w:rsidRPr="00B977CB">
        <w:rPr>
          <w:lang w:eastAsia="en-US"/>
        </w:rPr>
        <w:t>noslēgvārsti</w:t>
      </w:r>
      <w:proofErr w:type="spellEnd"/>
      <w:r w:rsidRPr="00B977CB">
        <w:rPr>
          <w:lang w:eastAsia="en-US"/>
        </w:rPr>
        <w:t>, ventiļi, regulēšanas vārsti, filtri, pretspiediena vārsti, atgaisotāji, un tml.</w:t>
      </w:r>
    </w:p>
    <w:p w:rsidR="00555270" w:rsidRPr="00B977CB" w:rsidRDefault="00555270" w:rsidP="002E2E7D">
      <w:pPr>
        <w:jc w:val="both"/>
        <w:rPr>
          <w:lang w:eastAsia="en-US"/>
        </w:rPr>
      </w:pPr>
      <w:r w:rsidRPr="00B977CB">
        <w:rPr>
          <w:lang w:eastAsia="en-US"/>
        </w:rPr>
        <w:t xml:space="preserve">       Visām Būvprojekta paredzētajām krāsām ir jābūt noteiktām atbilstoši NCS vai RAL sistēmām, ja tas tehniski nav iespējams, tad jānorāda konkrētā ražotāja krāsu kataloga nosaukums un krāsu kods.</w:t>
      </w:r>
    </w:p>
    <w:p w:rsidR="00555270" w:rsidRPr="00B977CB" w:rsidRDefault="00555270" w:rsidP="00555270">
      <w:pPr>
        <w:ind w:left="426" w:hanging="426"/>
        <w:jc w:val="both"/>
        <w:rPr>
          <w:lang w:eastAsia="en-US"/>
        </w:rPr>
      </w:pPr>
    </w:p>
    <w:p w:rsidR="00555270" w:rsidRPr="00B977CB" w:rsidRDefault="00555270" w:rsidP="00555270">
      <w:pPr>
        <w:ind w:left="426" w:hanging="426"/>
        <w:jc w:val="both"/>
        <w:rPr>
          <w:lang w:eastAsia="en-US"/>
        </w:rPr>
      </w:pPr>
    </w:p>
    <w:p w:rsidR="00555270" w:rsidRPr="00B977CB" w:rsidRDefault="00555270" w:rsidP="00555270">
      <w:pPr>
        <w:jc w:val="both"/>
        <w:rPr>
          <w:b/>
          <w:u w:val="single"/>
          <w:lang w:eastAsia="en-US"/>
        </w:rPr>
      </w:pPr>
      <w:r w:rsidRPr="00B977CB">
        <w:rPr>
          <w:b/>
          <w:u w:val="single"/>
          <w:lang w:eastAsia="en-US"/>
        </w:rPr>
        <w:t>4.Būvprojekta sastāvs</w:t>
      </w:r>
    </w:p>
    <w:p w:rsidR="00555270" w:rsidRPr="00B977CB" w:rsidRDefault="00555270" w:rsidP="00555270">
      <w:pPr>
        <w:ind w:left="360"/>
        <w:jc w:val="both"/>
        <w:rPr>
          <w:b/>
          <w:lang w:eastAsia="en-US"/>
        </w:rPr>
      </w:pPr>
    </w:p>
    <w:p w:rsidR="00555270" w:rsidRPr="00B977CB" w:rsidRDefault="00555270" w:rsidP="002E2E7D">
      <w:pPr>
        <w:ind w:left="426" w:hanging="426"/>
        <w:jc w:val="both"/>
        <w:rPr>
          <w:bCs/>
          <w:lang w:eastAsia="en-US"/>
        </w:rPr>
      </w:pPr>
      <w:r w:rsidRPr="00B977CB">
        <w:rPr>
          <w:bCs/>
          <w:lang w:eastAsia="en-US"/>
        </w:rPr>
        <w:t>Būvprojektu noformēt atbilstoši spēkā esošajiem Latvijas Republikas normatīvajiem aktiem.</w:t>
      </w:r>
    </w:p>
    <w:p w:rsidR="00555270" w:rsidRPr="00B977CB" w:rsidRDefault="002E2E7D" w:rsidP="002E2E7D">
      <w:pPr>
        <w:ind w:left="426" w:hanging="426"/>
        <w:jc w:val="both"/>
        <w:rPr>
          <w:bCs/>
          <w:lang w:eastAsia="en-US"/>
        </w:rPr>
      </w:pPr>
      <w:proofErr w:type="spellStart"/>
      <w:r>
        <w:rPr>
          <w:bCs/>
          <w:lang w:eastAsia="en-US"/>
        </w:rPr>
        <w:t>B</w:t>
      </w:r>
      <w:r w:rsidR="00555270" w:rsidRPr="00B977CB">
        <w:rPr>
          <w:bCs/>
          <w:lang w:eastAsia="en-US"/>
        </w:rPr>
        <w:t>vprojektā</w:t>
      </w:r>
      <w:proofErr w:type="spellEnd"/>
      <w:r w:rsidR="00555270" w:rsidRPr="00B977CB">
        <w:rPr>
          <w:bCs/>
          <w:lang w:eastAsia="en-US"/>
        </w:rPr>
        <w:t xml:space="preserve"> jāietver:</w:t>
      </w:r>
    </w:p>
    <w:p w:rsidR="00555270" w:rsidRPr="00B977CB" w:rsidRDefault="00555270" w:rsidP="00555270">
      <w:pPr>
        <w:ind w:left="360"/>
        <w:jc w:val="both"/>
        <w:rPr>
          <w:bCs/>
          <w:lang w:eastAsia="en-US"/>
        </w:rPr>
      </w:pPr>
      <w:r w:rsidRPr="00B977CB">
        <w:rPr>
          <w:bCs/>
          <w:lang w:eastAsia="en-US"/>
        </w:rPr>
        <w:t>4.1.Vispārīgā daļa:</w:t>
      </w:r>
    </w:p>
    <w:p w:rsidR="00555270" w:rsidRPr="00B977CB" w:rsidRDefault="00555270" w:rsidP="00555270">
      <w:pPr>
        <w:numPr>
          <w:ilvl w:val="0"/>
          <w:numId w:val="5"/>
        </w:numPr>
        <w:jc w:val="both"/>
        <w:rPr>
          <w:bCs/>
          <w:lang w:eastAsia="en-US"/>
        </w:rPr>
      </w:pPr>
      <w:proofErr w:type="spellStart"/>
      <w:r w:rsidRPr="00B977CB">
        <w:rPr>
          <w:bCs/>
          <w:lang w:eastAsia="en-US"/>
        </w:rPr>
        <w:t>Būvprojektēšanas</w:t>
      </w:r>
      <w:proofErr w:type="spellEnd"/>
      <w:r w:rsidRPr="00B977CB">
        <w:rPr>
          <w:bCs/>
          <w:lang w:eastAsia="en-US"/>
        </w:rPr>
        <w:t xml:space="preserve"> uzsākšanai nepieciešamie dokumenti un materiāli;</w:t>
      </w:r>
    </w:p>
    <w:p w:rsidR="00555270" w:rsidRPr="00B977CB" w:rsidRDefault="00555270" w:rsidP="00555270">
      <w:pPr>
        <w:numPr>
          <w:ilvl w:val="0"/>
          <w:numId w:val="5"/>
        </w:numPr>
        <w:jc w:val="both"/>
        <w:rPr>
          <w:bCs/>
          <w:lang w:eastAsia="en-US"/>
        </w:rPr>
      </w:pPr>
      <w:r w:rsidRPr="00B977CB">
        <w:rPr>
          <w:bCs/>
          <w:lang w:eastAsia="en-US"/>
        </w:rPr>
        <w:t>Būves tehniskās apsekošanas dokumentācija - TIS;</w:t>
      </w:r>
    </w:p>
    <w:p w:rsidR="00555270" w:rsidRPr="00B977CB" w:rsidRDefault="00555270" w:rsidP="00555270">
      <w:pPr>
        <w:numPr>
          <w:ilvl w:val="0"/>
          <w:numId w:val="5"/>
        </w:numPr>
        <w:jc w:val="both"/>
        <w:rPr>
          <w:bCs/>
          <w:lang w:eastAsia="en-US"/>
        </w:rPr>
      </w:pPr>
      <w:r w:rsidRPr="00B977CB">
        <w:rPr>
          <w:bCs/>
          <w:lang w:eastAsia="en-US"/>
        </w:rPr>
        <w:t>Topogrāfiskā izpēte; TI</w:t>
      </w:r>
    </w:p>
    <w:p w:rsidR="00555270" w:rsidRPr="00B977CB" w:rsidRDefault="00555270" w:rsidP="00555270">
      <w:pPr>
        <w:numPr>
          <w:ilvl w:val="0"/>
          <w:numId w:val="5"/>
        </w:numPr>
        <w:jc w:val="both"/>
        <w:rPr>
          <w:bCs/>
          <w:lang w:eastAsia="en-US"/>
        </w:rPr>
      </w:pPr>
      <w:proofErr w:type="spellStart"/>
      <w:r w:rsidRPr="00B977CB">
        <w:rPr>
          <w:bCs/>
          <w:lang w:eastAsia="en-US"/>
        </w:rPr>
        <w:t>Ģeotehniskā</w:t>
      </w:r>
      <w:proofErr w:type="spellEnd"/>
      <w:r w:rsidRPr="00B977CB">
        <w:rPr>
          <w:bCs/>
          <w:lang w:eastAsia="en-US"/>
        </w:rPr>
        <w:t xml:space="preserve"> izpēte; ĢI</w:t>
      </w:r>
    </w:p>
    <w:p w:rsidR="00555270" w:rsidRPr="00B977CB" w:rsidRDefault="00555270" w:rsidP="00555270">
      <w:pPr>
        <w:numPr>
          <w:ilvl w:val="0"/>
          <w:numId w:val="5"/>
        </w:numPr>
        <w:jc w:val="both"/>
        <w:rPr>
          <w:bCs/>
          <w:lang w:eastAsia="en-US"/>
        </w:rPr>
      </w:pPr>
      <w:r w:rsidRPr="00B977CB">
        <w:rPr>
          <w:bCs/>
          <w:lang w:eastAsia="en-US"/>
        </w:rPr>
        <w:t>Skaidrojošais apraksts</w:t>
      </w:r>
    </w:p>
    <w:p w:rsidR="00555270" w:rsidRPr="00B977CB" w:rsidRDefault="00555270" w:rsidP="00555270">
      <w:pPr>
        <w:ind w:firstLine="360"/>
        <w:jc w:val="both"/>
        <w:rPr>
          <w:bCs/>
          <w:lang w:eastAsia="en-US"/>
        </w:rPr>
      </w:pPr>
      <w:r w:rsidRPr="00B977CB">
        <w:rPr>
          <w:bCs/>
          <w:lang w:eastAsia="en-US"/>
        </w:rPr>
        <w:t>4.2. Arhitektūras daļa:</w:t>
      </w:r>
    </w:p>
    <w:p w:rsidR="00555270" w:rsidRPr="00B977CB" w:rsidRDefault="00555270" w:rsidP="00555270">
      <w:pPr>
        <w:numPr>
          <w:ilvl w:val="0"/>
          <w:numId w:val="6"/>
        </w:numPr>
        <w:jc w:val="both"/>
        <w:rPr>
          <w:bCs/>
          <w:lang w:eastAsia="en-US"/>
        </w:rPr>
      </w:pPr>
      <w:r w:rsidRPr="00B977CB">
        <w:rPr>
          <w:bCs/>
          <w:lang w:eastAsia="en-US"/>
        </w:rPr>
        <w:t>teritorijas sadaļa (</w:t>
      </w:r>
      <w:proofErr w:type="spellStart"/>
      <w:r w:rsidRPr="00B977CB">
        <w:rPr>
          <w:bCs/>
          <w:lang w:eastAsia="en-US"/>
        </w:rPr>
        <w:t>ģenplāns</w:t>
      </w:r>
      <w:proofErr w:type="spellEnd"/>
      <w:r w:rsidRPr="00B977CB">
        <w:rPr>
          <w:bCs/>
          <w:lang w:eastAsia="en-US"/>
        </w:rPr>
        <w:t>) – ĢP</w:t>
      </w:r>
    </w:p>
    <w:p w:rsidR="00555270" w:rsidRPr="00B977CB" w:rsidRDefault="00555270" w:rsidP="00555270">
      <w:pPr>
        <w:numPr>
          <w:ilvl w:val="0"/>
          <w:numId w:val="6"/>
        </w:numPr>
        <w:jc w:val="both"/>
        <w:rPr>
          <w:bCs/>
          <w:lang w:eastAsia="en-US"/>
        </w:rPr>
      </w:pPr>
      <w:r w:rsidRPr="00B977CB">
        <w:rPr>
          <w:bCs/>
          <w:lang w:eastAsia="en-US"/>
        </w:rPr>
        <w:t>arhitektūras risinājumi - AR:</w:t>
      </w:r>
    </w:p>
    <w:p w:rsidR="00555270" w:rsidRPr="00B977CB" w:rsidRDefault="00555270" w:rsidP="00555270">
      <w:pPr>
        <w:numPr>
          <w:ilvl w:val="0"/>
          <w:numId w:val="6"/>
        </w:numPr>
        <w:jc w:val="both"/>
        <w:rPr>
          <w:bCs/>
          <w:lang w:eastAsia="en-US"/>
        </w:rPr>
      </w:pPr>
      <w:r w:rsidRPr="00B977CB">
        <w:rPr>
          <w:bCs/>
          <w:lang w:eastAsia="en-US"/>
        </w:rPr>
        <w:t>ugunsdrošības pasākumu pārskats – UPP;</w:t>
      </w:r>
    </w:p>
    <w:p w:rsidR="00555270" w:rsidRPr="00B977CB" w:rsidRDefault="00555270" w:rsidP="00555270">
      <w:pPr>
        <w:numPr>
          <w:ilvl w:val="0"/>
          <w:numId w:val="6"/>
        </w:numPr>
        <w:jc w:val="both"/>
        <w:rPr>
          <w:bCs/>
          <w:lang w:eastAsia="en-US"/>
        </w:rPr>
      </w:pPr>
      <w:r w:rsidRPr="00B977CB">
        <w:rPr>
          <w:bCs/>
          <w:lang w:eastAsia="en-US"/>
        </w:rPr>
        <w:t xml:space="preserve">ēkas pagaidu </w:t>
      </w:r>
      <w:proofErr w:type="spellStart"/>
      <w:r w:rsidRPr="00B977CB">
        <w:rPr>
          <w:bCs/>
          <w:lang w:eastAsia="en-US"/>
        </w:rPr>
        <w:t>energosertifikāts</w:t>
      </w:r>
      <w:proofErr w:type="spellEnd"/>
      <w:r w:rsidRPr="00B977CB">
        <w:rPr>
          <w:bCs/>
          <w:lang w:eastAsia="en-US"/>
        </w:rPr>
        <w:t xml:space="preserve"> – EPE.  </w:t>
      </w:r>
    </w:p>
    <w:p w:rsidR="00555270" w:rsidRPr="00B977CB" w:rsidRDefault="00555270" w:rsidP="00555270">
      <w:pPr>
        <w:spacing w:before="100" w:beforeAutospacing="1" w:after="100" w:afterAutospacing="1"/>
        <w:ind w:firstLine="360"/>
        <w:rPr>
          <w:bCs/>
          <w:lang w:eastAsia="en-US"/>
        </w:rPr>
      </w:pPr>
      <w:r w:rsidRPr="00B977CB">
        <w:rPr>
          <w:bCs/>
          <w:lang w:eastAsia="en-US"/>
        </w:rPr>
        <w:t>4.3.Inženierrisinājumu daļa:</w:t>
      </w:r>
    </w:p>
    <w:p w:rsidR="00555270" w:rsidRPr="00B977CB" w:rsidRDefault="00555270" w:rsidP="00555270">
      <w:pPr>
        <w:numPr>
          <w:ilvl w:val="0"/>
          <w:numId w:val="7"/>
        </w:numPr>
        <w:jc w:val="both"/>
        <w:rPr>
          <w:bCs/>
          <w:lang w:eastAsia="en-US"/>
        </w:rPr>
      </w:pPr>
      <w:r w:rsidRPr="00B977CB">
        <w:rPr>
          <w:bCs/>
          <w:lang w:eastAsia="en-US"/>
        </w:rPr>
        <w:t xml:space="preserve">būvkonstrukcijas - BK </w:t>
      </w:r>
    </w:p>
    <w:p w:rsidR="00555270" w:rsidRPr="00B977CB" w:rsidRDefault="00555270" w:rsidP="00555270">
      <w:pPr>
        <w:numPr>
          <w:ilvl w:val="0"/>
          <w:numId w:val="7"/>
        </w:numPr>
        <w:jc w:val="both"/>
        <w:rPr>
          <w:bCs/>
          <w:lang w:eastAsia="en-US"/>
        </w:rPr>
      </w:pPr>
      <w:r w:rsidRPr="00B977CB">
        <w:rPr>
          <w:bCs/>
          <w:lang w:eastAsia="en-US"/>
        </w:rPr>
        <w:t>ūdensapgāde un kanalizācija iekšējie un ārējie tīkli,– ŪK, ŪKT</w:t>
      </w:r>
    </w:p>
    <w:p w:rsidR="00555270" w:rsidRPr="00B977CB" w:rsidRDefault="00555270" w:rsidP="00555270">
      <w:pPr>
        <w:numPr>
          <w:ilvl w:val="0"/>
          <w:numId w:val="7"/>
        </w:numPr>
        <w:jc w:val="both"/>
        <w:rPr>
          <w:bCs/>
          <w:lang w:eastAsia="en-US"/>
        </w:rPr>
      </w:pPr>
      <w:r w:rsidRPr="00B977CB">
        <w:rPr>
          <w:bCs/>
          <w:lang w:eastAsia="en-US"/>
        </w:rPr>
        <w:t>lietus ūdens kanalizācijas tīkli, drenāžas tīkli LKT, DT</w:t>
      </w:r>
    </w:p>
    <w:p w:rsidR="00555270" w:rsidRPr="00B977CB" w:rsidRDefault="00555270" w:rsidP="00555270">
      <w:pPr>
        <w:numPr>
          <w:ilvl w:val="0"/>
          <w:numId w:val="7"/>
        </w:numPr>
        <w:jc w:val="both"/>
        <w:rPr>
          <w:bCs/>
          <w:lang w:eastAsia="en-US"/>
        </w:rPr>
      </w:pPr>
      <w:r w:rsidRPr="00B977CB">
        <w:rPr>
          <w:bCs/>
          <w:lang w:eastAsia="en-US"/>
        </w:rPr>
        <w:t>elektroapgāde iekšējie un ārējie tīkli – EL, ELT;</w:t>
      </w:r>
    </w:p>
    <w:p w:rsidR="00555270" w:rsidRPr="00B977CB" w:rsidRDefault="00555270" w:rsidP="00555270">
      <w:pPr>
        <w:numPr>
          <w:ilvl w:val="0"/>
          <w:numId w:val="7"/>
        </w:numPr>
        <w:jc w:val="both"/>
        <w:rPr>
          <w:bCs/>
          <w:lang w:eastAsia="en-US"/>
        </w:rPr>
      </w:pPr>
      <w:r w:rsidRPr="00B977CB">
        <w:rPr>
          <w:bCs/>
          <w:lang w:eastAsia="en-US"/>
        </w:rPr>
        <w:t>apkure, vēdināšana – AVK;</w:t>
      </w:r>
    </w:p>
    <w:p w:rsidR="00555270" w:rsidRPr="00B977CB" w:rsidRDefault="00555270" w:rsidP="00555270">
      <w:pPr>
        <w:numPr>
          <w:ilvl w:val="0"/>
          <w:numId w:val="7"/>
        </w:numPr>
        <w:jc w:val="both"/>
        <w:rPr>
          <w:bCs/>
          <w:lang w:eastAsia="en-US"/>
        </w:rPr>
      </w:pPr>
      <w:r w:rsidRPr="00B977CB">
        <w:rPr>
          <w:bCs/>
          <w:lang w:eastAsia="en-US"/>
        </w:rPr>
        <w:t>vājstrāvu sistēmas, signalizācija – VS; UAS;</w:t>
      </w:r>
    </w:p>
    <w:p w:rsidR="00555270" w:rsidRPr="00B977CB" w:rsidRDefault="00555270" w:rsidP="00555270">
      <w:pPr>
        <w:ind w:firstLine="360"/>
        <w:jc w:val="both"/>
        <w:rPr>
          <w:bCs/>
          <w:lang w:eastAsia="en-US"/>
        </w:rPr>
      </w:pPr>
      <w:r w:rsidRPr="00B977CB">
        <w:rPr>
          <w:bCs/>
          <w:lang w:eastAsia="en-US"/>
        </w:rPr>
        <w:t>4.4. Ekonomiska daļa:</w:t>
      </w:r>
    </w:p>
    <w:p w:rsidR="00555270" w:rsidRPr="00B977CB" w:rsidRDefault="00555270" w:rsidP="00555270">
      <w:pPr>
        <w:numPr>
          <w:ilvl w:val="0"/>
          <w:numId w:val="8"/>
        </w:numPr>
        <w:jc w:val="both"/>
        <w:rPr>
          <w:bCs/>
          <w:lang w:eastAsia="en-US"/>
        </w:rPr>
      </w:pPr>
      <w:r w:rsidRPr="00B977CB">
        <w:rPr>
          <w:bCs/>
          <w:lang w:eastAsia="en-US"/>
        </w:rPr>
        <w:t>iekārtu, konstrukciju un materiālu kopsavilkums – IS;</w:t>
      </w:r>
    </w:p>
    <w:p w:rsidR="00555270" w:rsidRPr="00B977CB" w:rsidRDefault="00555270" w:rsidP="00555270">
      <w:pPr>
        <w:numPr>
          <w:ilvl w:val="0"/>
          <w:numId w:val="8"/>
        </w:numPr>
        <w:jc w:val="both"/>
        <w:rPr>
          <w:bCs/>
          <w:lang w:eastAsia="en-US"/>
        </w:rPr>
      </w:pPr>
      <w:r w:rsidRPr="00B977CB">
        <w:rPr>
          <w:bCs/>
          <w:lang w:eastAsia="en-US"/>
        </w:rPr>
        <w:t>būvdarbu apjomu saraksts – BA;</w:t>
      </w:r>
    </w:p>
    <w:p w:rsidR="00555270" w:rsidRPr="00B977CB" w:rsidRDefault="00555270" w:rsidP="00555270">
      <w:pPr>
        <w:numPr>
          <w:ilvl w:val="0"/>
          <w:numId w:val="8"/>
        </w:numPr>
        <w:jc w:val="both"/>
        <w:rPr>
          <w:bCs/>
          <w:lang w:eastAsia="en-US"/>
        </w:rPr>
      </w:pPr>
      <w:r w:rsidRPr="00B977CB">
        <w:rPr>
          <w:bCs/>
          <w:lang w:eastAsia="en-US"/>
        </w:rPr>
        <w:t>izmaksu aprēķins –T</w:t>
      </w:r>
    </w:p>
    <w:p w:rsidR="00555270" w:rsidRPr="00B977CB" w:rsidRDefault="00555270" w:rsidP="00555270">
      <w:pPr>
        <w:ind w:left="360"/>
        <w:jc w:val="both"/>
        <w:rPr>
          <w:bCs/>
          <w:lang w:eastAsia="en-US"/>
        </w:rPr>
      </w:pPr>
      <w:r w:rsidRPr="00B977CB">
        <w:rPr>
          <w:bCs/>
          <w:lang w:eastAsia="en-US"/>
        </w:rPr>
        <w:t>4.5.darbu organizēšanas projekts DOP.</w:t>
      </w:r>
    </w:p>
    <w:p w:rsidR="001307D3" w:rsidRDefault="001307D3" w:rsidP="00555270"/>
    <w:p w:rsidR="002E2E7D" w:rsidRDefault="002E2E7D" w:rsidP="00555270"/>
    <w:p w:rsidR="002E2E7D" w:rsidRDefault="002E2E7D" w:rsidP="00555270"/>
    <w:p w:rsidR="002E2E7D" w:rsidRDefault="002E2E7D" w:rsidP="002E2E7D">
      <w:pPr>
        <w:rPr>
          <w:b/>
        </w:rPr>
      </w:pPr>
      <w:r>
        <w:rPr>
          <w:b/>
        </w:rPr>
        <w:t>Pasūtītājs</w:t>
      </w:r>
      <w:r>
        <w:rPr>
          <w:b/>
        </w:rPr>
        <w:tab/>
      </w:r>
      <w:r>
        <w:rPr>
          <w:b/>
        </w:rPr>
        <w:tab/>
      </w:r>
      <w:r>
        <w:rPr>
          <w:b/>
        </w:rPr>
        <w:tab/>
      </w:r>
      <w:r>
        <w:rPr>
          <w:b/>
        </w:rPr>
        <w:tab/>
      </w:r>
      <w:r w:rsidRPr="002E2E7D">
        <w:rPr>
          <w:b/>
        </w:rPr>
        <w:tab/>
      </w:r>
      <w:r w:rsidRPr="002E2E7D">
        <w:rPr>
          <w:b/>
        </w:rPr>
        <w:tab/>
        <w:t>Izpildītājs</w:t>
      </w:r>
    </w:p>
    <w:p w:rsidR="002E2E7D" w:rsidRDefault="002E2E7D" w:rsidP="002E2E7D">
      <w:pPr>
        <w:rPr>
          <w:b/>
        </w:rPr>
      </w:pPr>
    </w:p>
    <w:p w:rsidR="002E2E7D" w:rsidRDefault="002E2E7D" w:rsidP="002E2E7D">
      <w:pPr>
        <w:rPr>
          <w:b/>
        </w:rPr>
      </w:pPr>
    </w:p>
    <w:p w:rsidR="002E2E7D" w:rsidRDefault="002E2E7D" w:rsidP="002E2E7D">
      <w:pPr>
        <w:rPr>
          <w:b/>
        </w:rPr>
      </w:pPr>
      <w:r>
        <w:rPr>
          <w:b/>
        </w:rPr>
        <w:t>_______________________</w:t>
      </w:r>
      <w:r>
        <w:rPr>
          <w:b/>
        </w:rPr>
        <w:tab/>
      </w:r>
      <w:r>
        <w:rPr>
          <w:b/>
        </w:rPr>
        <w:tab/>
      </w:r>
      <w:r>
        <w:rPr>
          <w:b/>
        </w:rPr>
        <w:tab/>
      </w:r>
      <w:r>
        <w:rPr>
          <w:b/>
        </w:rPr>
        <w:tab/>
        <w:t>______________________</w:t>
      </w:r>
    </w:p>
    <w:p w:rsidR="002E2E7D" w:rsidRDefault="002E2E7D" w:rsidP="002E2E7D">
      <w:r>
        <w:rPr>
          <w:b/>
        </w:rPr>
        <w:t xml:space="preserve"> </w:t>
      </w:r>
      <w:r>
        <w:t xml:space="preserve">Pašvaldības izpilddirektore </w:t>
      </w:r>
      <w:r>
        <w:tab/>
      </w:r>
      <w:r>
        <w:tab/>
      </w:r>
      <w:r>
        <w:tab/>
      </w:r>
      <w:r>
        <w:tab/>
        <w:t xml:space="preserve">           Valdes loceklis </w:t>
      </w:r>
    </w:p>
    <w:p w:rsidR="002E2E7D" w:rsidRDefault="002E2E7D" w:rsidP="002E2E7D">
      <w:r>
        <w:t xml:space="preserve">Irēna Škutāne </w:t>
      </w:r>
      <w:r>
        <w:tab/>
      </w:r>
      <w:r>
        <w:tab/>
      </w:r>
      <w:r>
        <w:tab/>
      </w:r>
      <w:r>
        <w:tab/>
      </w:r>
      <w:r>
        <w:tab/>
      </w:r>
      <w:r>
        <w:tab/>
      </w:r>
      <w:r>
        <w:tab/>
      </w:r>
      <w:r w:rsidRPr="00850786">
        <w:t>Mārtiņ</w:t>
      </w:r>
      <w:r>
        <w:t xml:space="preserve">š </w:t>
      </w:r>
      <w:proofErr w:type="spellStart"/>
      <w:r>
        <w:t>Blumentāls</w:t>
      </w:r>
      <w:proofErr w:type="spellEnd"/>
    </w:p>
    <w:sectPr w:rsidR="002E2E7D" w:rsidSect="00850786">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ns serif">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1E52"/>
    <w:multiLevelType w:val="hybridMultilevel"/>
    <w:tmpl w:val="53509BEE"/>
    <w:lvl w:ilvl="0" w:tplc="389C428C">
      <w:start w:val="1"/>
      <w:numFmt w:val="bullet"/>
      <w:lvlText w:val="-"/>
      <w:lvlJc w:val="left"/>
      <w:pPr>
        <w:ind w:left="780" w:hanging="360"/>
      </w:pPr>
      <w:rPr>
        <w:rFonts w:ascii="Times New Roman" w:eastAsia="Times New Roman" w:hAnsi="Times New Roman" w:hint="default"/>
        <w:color w:val="auto"/>
      </w:rPr>
    </w:lvl>
    <w:lvl w:ilvl="1" w:tplc="04260003" w:tentative="1">
      <w:start w:val="1"/>
      <w:numFmt w:val="bullet"/>
      <w:lvlText w:val="o"/>
      <w:lvlJc w:val="left"/>
      <w:pPr>
        <w:ind w:left="1500" w:hanging="360"/>
      </w:pPr>
      <w:rPr>
        <w:rFonts w:ascii="Courier New" w:hAnsi="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 w15:restartNumberingAfterBreak="0">
    <w:nsid w:val="1B6B0F18"/>
    <w:multiLevelType w:val="hybridMultilevel"/>
    <w:tmpl w:val="6CB49E02"/>
    <w:lvl w:ilvl="0" w:tplc="389C428C">
      <w:start w:val="1"/>
      <w:numFmt w:val="bullet"/>
      <w:lvlText w:val="-"/>
      <w:lvlJc w:val="left"/>
      <w:pPr>
        <w:ind w:left="720" w:hanging="360"/>
      </w:pPr>
      <w:rPr>
        <w:rFonts w:ascii="Times New Roman" w:eastAsia="Times New Roman" w:hAnsi="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F681AF7"/>
    <w:multiLevelType w:val="multilevel"/>
    <w:tmpl w:val="5490A07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1D53973"/>
    <w:multiLevelType w:val="multilevel"/>
    <w:tmpl w:val="4A3681CE"/>
    <w:lvl w:ilvl="0">
      <w:start w:val="1"/>
      <w:numFmt w:val="decimal"/>
      <w:lvlText w:val="%1."/>
      <w:lvlJc w:val="left"/>
      <w:pPr>
        <w:ind w:left="420" w:hanging="420"/>
      </w:pPr>
      <w:rPr>
        <w:rFonts w:ascii="sans serif" w:hAnsi="sans serif" w:cs="Times New Roman" w:hint="default"/>
        <w:b/>
        <w:bCs w:val="0"/>
        <w:color w:val="000000"/>
      </w:rPr>
    </w:lvl>
    <w:lvl w:ilvl="1">
      <w:start w:val="1"/>
      <w:numFmt w:val="decimal"/>
      <w:lvlText w:val="%1.%2."/>
      <w:lvlJc w:val="left"/>
      <w:pPr>
        <w:ind w:left="780" w:hanging="420"/>
      </w:pPr>
      <w:rPr>
        <w:rFonts w:ascii="sans serif" w:hAnsi="sans serif" w:cs="Times New Roman" w:hint="default"/>
        <w:b/>
        <w:color w:val="000000"/>
      </w:rPr>
    </w:lvl>
    <w:lvl w:ilvl="2">
      <w:start w:val="1"/>
      <w:numFmt w:val="decimal"/>
      <w:lvlText w:val="%1.%2.%3."/>
      <w:lvlJc w:val="left"/>
      <w:pPr>
        <w:ind w:left="720" w:hanging="720"/>
      </w:pPr>
      <w:rPr>
        <w:rFonts w:ascii="sans serif" w:hAnsi="sans serif" w:cs="Times New Roman" w:hint="default"/>
        <w:color w:val="000000"/>
      </w:rPr>
    </w:lvl>
    <w:lvl w:ilvl="3">
      <w:start w:val="1"/>
      <w:numFmt w:val="decimal"/>
      <w:lvlText w:val="%1.%2.%3.%4."/>
      <w:lvlJc w:val="left"/>
      <w:pPr>
        <w:ind w:left="720" w:hanging="720"/>
      </w:pPr>
      <w:rPr>
        <w:rFonts w:ascii="sans serif" w:hAnsi="sans serif" w:cs="Times New Roman" w:hint="default"/>
        <w:color w:val="000000"/>
      </w:rPr>
    </w:lvl>
    <w:lvl w:ilvl="4">
      <w:start w:val="1"/>
      <w:numFmt w:val="decimal"/>
      <w:lvlText w:val="%1.%2.%3.%4.%5."/>
      <w:lvlJc w:val="left"/>
      <w:pPr>
        <w:ind w:left="1080" w:hanging="1080"/>
      </w:pPr>
      <w:rPr>
        <w:rFonts w:ascii="sans serif" w:hAnsi="sans serif" w:cs="Times New Roman" w:hint="default"/>
        <w:color w:val="000000"/>
      </w:rPr>
    </w:lvl>
    <w:lvl w:ilvl="5">
      <w:start w:val="1"/>
      <w:numFmt w:val="decimal"/>
      <w:lvlText w:val="%1.%2.%3.%4.%5.%6."/>
      <w:lvlJc w:val="left"/>
      <w:pPr>
        <w:ind w:left="1080" w:hanging="1080"/>
      </w:pPr>
      <w:rPr>
        <w:rFonts w:ascii="sans serif" w:hAnsi="sans serif" w:cs="Times New Roman" w:hint="default"/>
        <w:color w:val="000000"/>
      </w:rPr>
    </w:lvl>
    <w:lvl w:ilvl="6">
      <w:start w:val="1"/>
      <w:numFmt w:val="decimal"/>
      <w:lvlText w:val="%1.%2.%3.%4.%5.%6.%7."/>
      <w:lvlJc w:val="left"/>
      <w:pPr>
        <w:ind w:left="1440" w:hanging="1440"/>
      </w:pPr>
      <w:rPr>
        <w:rFonts w:ascii="sans serif" w:hAnsi="sans serif" w:cs="Times New Roman" w:hint="default"/>
        <w:color w:val="000000"/>
      </w:rPr>
    </w:lvl>
    <w:lvl w:ilvl="7">
      <w:start w:val="1"/>
      <w:numFmt w:val="decimal"/>
      <w:lvlText w:val="%1.%2.%3.%4.%5.%6.%7.%8."/>
      <w:lvlJc w:val="left"/>
      <w:pPr>
        <w:ind w:left="1440" w:hanging="1440"/>
      </w:pPr>
      <w:rPr>
        <w:rFonts w:ascii="sans serif" w:hAnsi="sans serif" w:cs="Times New Roman" w:hint="default"/>
        <w:color w:val="000000"/>
      </w:rPr>
    </w:lvl>
    <w:lvl w:ilvl="8">
      <w:start w:val="1"/>
      <w:numFmt w:val="decimal"/>
      <w:lvlText w:val="%1.%2.%3.%4.%5.%6.%7.%8.%9."/>
      <w:lvlJc w:val="left"/>
      <w:pPr>
        <w:ind w:left="1800" w:hanging="1800"/>
      </w:pPr>
      <w:rPr>
        <w:rFonts w:ascii="sans serif" w:hAnsi="sans serif" w:cs="Times New Roman" w:hint="default"/>
        <w:color w:val="000000"/>
      </w:rPr>
    </w:lvl>
  </w:abstractNum>
  <w:abstractNum w:abstractNumId="4" w15:restartNumberingAfterBreak="0">
    <w:nsid w:val="4E4A3119"/>
    <w:multiLevelType w:val="hybridMultilevel"/>
    <w:tmpl w:val="B72EF2F2"/>
    <w:lvl w:ilvl="0" w:tplc="389C428C">
      <w:start w:val="1"/>
      <w:numFmt w:val="bullet"/>
      <w:lvlText w:val="-"/>
      <w:lvlJc w:val="left"/>
      <w:pPr>
        <w:ind w:left="720" w:hanging="360"/>
      </w:pPr>
      <w:rPr>
        <w:rFonts w:ascii="Times New Roman" w:eastAsia="Times New Roman" w:hAnsi="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A2A2C64"/>
    <w:multiLevelType w:val="hybridMultilevel"/>
    <w:tmpl w:val="4DD0766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75BD1282"/>
    <w:multiLevelType w:val="multilevel"/>
    <w:tmpl w:val="EF0A1CEE"/>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574" w:hanging="432"/>
      </w:pPr>
      <w:rPr>
        <w:rFonts w:hint="default"/>
        <w:b w:val="0"/>
        <w:i w:val="0"/>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93A6917"/>
    <w:multiLevelType w:val="hybridMultilevel"/>
    <w:tmpl w:val="D25247BA"/>
    <w:lvl w:ilvl="0" w:tplc="389C428C">
      <w:start w:val="1"/>
      <w:numFmt w:val="bullet"/>
      <w:lvlText w:val="-"/>
      <w:lvlJc w:val="left"/>
      <w:pPr>
        <w:ind w:left="720" w:hanging="360"/>
      </w:pPr>
      <w:rPr>
        <w:rFonts w:ascii="Times New Roman" w:eastAsia="Times New Roman" w:hAnsi="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0"/>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6F"/>
    <w:rsid w:val="001307D3"/>
    <w:rsid w:val="002E2E7D"/>
    <w:rsid w:val="0046083C"/>
    <w:rsid w:val="004E1159"/>
    <w:rsid w:val="00555270"/>
    <w:rsid w:val="00850786"/>
    <w:rsid w:val="00864EF3"/>
    <w:rsid w:val="008B517B"/>
    <w:rsid w:val="00C650BF"/>
    <w:rsid w:val="00C73F6F"/>
    <w:rsid w:val="00EA4E23"/>
    <w:rsid w:val="00FA12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E1D2AA22-1979-4055-A73E-D43628A3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6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
    <w:basedOn w:val="Normal"/>
    <w:link w:val="ListParagraphChar"/>
    <w:uiPriority w:val="34"/>
    <w:qFormat/>
    <w:rsid w:val="00C73F6F"/>
    <w:pPr>
      <w:ind w:left="720"/>
      <w:contextualSpacing/>
    </w:pPr>
    <w:rPr>
      <w:lang w:val="x-none" w:eastAsia="en-US"/>
    </w:rPr>
  </w:style>
  <w:style w:type="character" w:customStyle="1" w:styleId="ListParagraphChar">
    <w:name w:val="List Paragraph Char"/>
    <w:aliases w:val="Strip Char"/>
    <w:link w:val="ListParagraph"/>
    <w:uiPriority w:val="34"/>
    <w:locked/>
    <w:rsid w:val="00C73F6F"/>
    <w:rPr>
      <w:rFonts w:ascii="Times New Roman" w:eastAsia="Times New Roman" w:hAnsi="Times New Roman" w:cs="Times New Roman"/>
      <w:sz w:val="24"/>
      <w:szCs w:val="24"/>
      <w:lang w:val="x-none"/>
    </w:rPr>
  </w:style>
  <w:style w:type="paragraph" w:customStyle="1" w:styleId="ColorfulList-Accent11">
    <w:name w:val="Colorful List - Accent 11"/>
    <w:basedOn w:val="Normal"/>
    <w:qFormat/>
    <w:rsid w:val="00C73F6F"/>
    <w:pPr>
      <w:suppressAutoHyphens/>
      <w:spacing w:after="200" w:line="276" w:lineRule="auto"/>
      <w:ind w:left="720"/>
    </w:pPr>
    <w:rPr>
      <w:rFonts w:eastAsia="Calibri"/>
      <w:kern w:val="22"/>
      <w:sz w:val="22"/>
      <w:szCs w:val="22"/>
      <w:lang w:eastAsia="ar-SA"/>
    </w:rPr>
  </w:style>
  <w:style w:type="character" w:styleId="Hyperlink">
    <w:name w:val="Hyperlink"/>
    <w:basedOn w:val="DefaultParagraphFont"/>
    <w:uiPriority w:val="99"/>
    <w:unhideWhenUsed/>
    <w:rsid w:val="00C73F6F"/>
    <w:rPr>
      <w:color w:val="0563C1" w:themeColor="hyperlink"/>
      <w:u w:val="single"/>
    </w:rPr>
  </w:style>
  <w:style w:type="paragraph" w:styleId="BalloonText">
    <w:name w:val="Balloon Text"/>
    <w:basedOn w:val="Normal"/>
    <w:link w:val="BalloonTextChar"/>
    <w:uiPriority w:val="99"/>
    <w:semiHidden/>
    <w:unhideWhenUsed/>
    <w:rsid w:val="002E2E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E7D"/>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netbaltic.com/products/supported-ip-cameras/" TargetMode="External"/><Relationship Id="rId5" Type="http://schemas.openxmlformats.org/officeDocument/2006/relationships/hyperlink" Target="mailto:martins.pocis@dome.jelgav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10</Pages>
  <Words>18535</Words>
  <Characters>10566</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Iļjinska</dc:creator>
  <cp:keywords/>
  <dc:description/>
  <cp:lastModifiedBy>Ilze Iļjinska</cp:lastModifiedBy>
  <cp:revision>7</cp:revision>
  <cp:lastPrinted>2017-06-01T13:10:00Z</cp:lastPrinted>
  <dcterms:created xsi:type="dcterms:W3CDTF">2017-05-12T07:07:00Z</dcterms:created>
  <dcterms:modified xsi:type="dcterms:W3CDTF">2017-06-01T14:07:00Z</dcterms:modified>
</cp:coreProperties>
</file>