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83" w:rsidRDefault="00020783" w:rsidP="00020783">
      <w:pPr>
        <w:pStyle w:val="Header"/>
        <w:ind w:left="5049"/>
        <w:jc w:val="both"/>
        <w:rPr>
          <w:lang w:eastAsia="en-US"/>
        </w:rPr>
      </w:pPr>
    </w:p>
    <w:p w:rsidR="00020783" w:rsidRPr="00874F30" w:rsidRDefault="00020783" w:rsidP="00020783">
      <w:pPr>
        <w:pStyle w:val="Header"/>
        <w:ind w:left="5049"/>
        <w:jc w:val="both"/>
        <w:rPr>
          <w:lang w:eastAsia="en-US"/>
        </w:rPr>
      </w:pPr>
      <w:r w:rsidRPr="00874F30">
        <w:rPr>
          <w:lang w:eastAsia="en-US"/>
        </w:rPr>
        <w:t xml:space="preserve">Apstiprināts </w:t>
      </w:r>
    </w:p>
    <w:p w:rsidR="00020783" w:rsidRPr="00874F30" w:rsidRDefault="00020783" w:rsidP="00020783">
      <w:pPr>
        <w:pStyle w:val="Header"/>
        <w:ind w:left="5049"/>
        <w:jc w:val="both"/>
        <w:rPr>
          <w:lang w:eastAsia="en-US"/>
        </w:rPr>
      </w:pPr>
      <w:r w:rsidRPr="00874F30">
        <w:rPr>
          <w:lang w:eastAsia="en-US"/>
        </w:rPr>
        <w:t xml:space="preserve">ar Jelgavas </w:t>
      </w:r>
      <w:r>
        <w:rPr>
          <w:lang w:eastAsia="en-US"/>
        </w:rPr>
        <w:t xml:space="preserve">pilsētas </w:t>
      </w:r>
      <w:r w:rsidRPr="00874F30">
        <w:rPr>
          <w:lang w:eastAsia="en-US"/>
        </w:rPr>
        <w:t xml:space="preserve">domes </w:t>
      </w:r>
    </w:p>
    <w:p w:rsidR="00020783" w:rsidRPr="00020783" w:rsidRDefault="00020783" w:rsidP="00020783">
      <w:pPr>
        <w:ind w:left="5049"/>
        <w:jc w:val="both"/>
      </w:pPr>
      <w:r w:rsidRPr="00020783">
        <w:t>21.09.2017.</w:t>
      </w:r>
      <w:r w:rsidRPr="00510766">
        <w:rPr>
          <w:color w:val="D9D9D9"/>
        </w:rPr>
        <w:t xml:space="preserve"> </w:t>
      </w:r>
      <w:r w:rsidRPr="00020783">
        <w:t>lēmumu</w:t>
      </w:r>
      <w:r w:rsidRPr="00510766">
        <w:rPr>
          <w:color w:val="D9D9D9"/>
        </w:rPr>
        <w:t xml:space="preserve"> </w:t>
      </w:r>
      <w:r w:rsidRPr="00020783">
        <w:t>Nr.</w:t>
      </w:r>
      <w:r w:rsidR="00ED5A35">
        <w:t>11/19</w:t>
      </w:r>
    </w:p>
    <w:p w:rsidR="005F450A" w:rsidRDefault="005F450A" w:rsidP="00020783">
      <w:pPr>
        <w:jc w:val="right"/>
      </w:pPr>
    </w:p>
    <w:p w:rsidR="005F450A" w:rsidRDefault="005F450A"/>
    <w:p w:rsidR="00ED5A35" w:rsidRDefault="00020783" w:rsidP="00020783">
      <w:pPr>
        <w:pStyle w:val="Heading1"/>
      </w:pPr>
      <w:r>
        <w:t xml:space="preserve">JELGAVAS PILSĒTAS DOMES </w:t>
      </w:r>
    </w:p>
    <w:p w:rsidR="00020783" w:rsidRDefault="00020783" w:rsidP="00020783">
      <w:pPr>
        <w:pStyle w:val="Heading1"/>
      </w:pPr>
      <w:r>
        <w:t>DZĪVOKĻU KOMISIJAS NOLIKUMS</w:t>
      </w:r>
    </w:p>
    <w:p w:rsidR="005F450A" w:rsidRDefault="005F450A"/>
    <w:p w:rsidR="005F450A" w:rsidRDefault="005F450A"/>
    <w:p w:rsidR="00020783" w:rsidRDefault="00020783" w:rsidP="00FB354C">
      <w:pPr>
        <w:numPr>
          <w:ilvl w:val="0"/>
          <w:numId w:val="1"/>
        </w:numPr>
        <w:jc w:val="center"/>
        <w:rPr>
          <w:b/>
        </w:rPr>
      </w:pPr>
      <w:r w:rsidRPr="00020783">
        <w:rPr>
          <w:b/>
        </w:rPr>
        <w:t>Vispārīgie jautājumi</w:t>
      </w:r>
    </w:p>
    <w:p w:rsidR="00ED5A35" w:rsidRPr="00FB354C" w:rsidRDefault="00ED5A35" w:rsidP="00ED5A35">
      <w:pPr>
        <w:ind w:left="1080"/>
        <w:rPr>
          <w:b/>
        </w:rPr>
      </w:pPr>
    </w:p>
    <w:p w:rsidR="00020783" w:rsidRDefault="00020783" w:rsidP="00020783">
      <w:pPr>
        <w:numPr>
          <w:ilvl w:val="0"/>
          <w:numId w:val="4"/>
        </w:numPr>
        <w:ind w:right="78"/>
        <w:jc w:val="both"/>
      </w:pPr>
      <w:r>
        <w:t xml:space="preserve">Jelgavas pilsētas domes Dzīvokļu komisijas (turpmāk tekstā – Komisija) darbības mērķis ir risināt jautājumus un pieņemt lēmumus par pašvaldības palīdzības sniegšanu dzīvokļa jautājumos Jelgavas pilsētas iedzīvotājiem </w:t>
      </w:r>
      <w:r w:rsidRPr="00020783">
        <w:t>un kvalificētiem speciālistiem,</w:t>
      </w:r>
      <w:r>
        <w:t xml:space="preserve"> kā arī izskatītu jautājumus, kas saistīti ar pašvaldības dzīvojamo telpu </w:t>
      </w:r>
      <w:r w:rsidR="00AF54C0">
        <w:t>izīrēšanu</w:t>
      </w:r>
      <w:r>
        <w:t>.</w:t>
      </w:r>
    </w:p>
    <w:p w:rsidR="00020783" w:rsidRDefault="00020783" w:rsidP="00020783">
      <w:pPr>
        <w:numPr>
          <w:ilvl w:val="0"/>
          <w:numId w:val="4"/>
        </w:numPr>
        <w:ind w:right="78"/>
        <w:jc w:val="both"/>
      </w:pPr>
      <w:r>
        <w:t xml:space="preserve">Komisija veic savu darbu saskaņā ar likumiem “Par palīdzību dzīvokļa jautājumu risināšanā”, „Par sociālajiem dzīvokļiem un sociālajām dzīvojamām mājām”, “Par dzīvojamo telpu īri”, Dzīvokļa īpašuma likumu un citiem likumiem, Ministru kabineta noteikumiem, </w:t>
      </w:r>
      <w:r w:rsidRPr="004F21C6">
        <w:t>Jelgavas</w:t>
      </w:r>
      <w:r>
        <w:t xml:space="preserve"> pilsētas pašvaldības saistošajiem noteikumiem “</w:t>
      </w:r>
      <w:r w:rsidRPr="004F21C6">
        <w:rPr>
          <w:bCs/>
        </w:rPr>
        <w:t>Jelgavas</w:t>
      </w:r>
      <w:r>
        <w:rPr>
          <w:bCs/>
        </w:rPr>
        <w:t xml:space="preserve"> pilsētas pašvaldības palīdzības dzīvojamo telpu jautājumu risināšanā sniegšanas kārtība” un „Denacionalizētās un likumīgajam īpašniekam atdotās dzīvojamās telpas atbrīvošanas pabalsta piešķiršanas kārtība” </w:t>
      </w:r>
      <w:r>
        <w:t>un šo Nolikumu.</w:t>
      </w:r>
    </w:p>
    <w:p w:rsidR="00020783" w:rsidRDefault="00020783" w:rsidP="00020783">
      <w:pPr>
        <w:ind w:left="720" w:right="78"/>
        <w:jc w:val="both"/>
      </w:pPr>
    </w:p>
    <w:p w:rsidR="00020783" w:rsidRDefault="00BE7E4A" w:rsidP="00FB354C">
      <w:pPr>
        <w:numPr>
          <w:ilvl w:val="0"/>
          <w:numId w:val="1"/>
        </w:numPr>
        <w:ind w:right="78"/>
        <w:jc w:val="center"/>
        <w:rPr>
          <w:b/>
        </w:rPr>
      </w:pPr>
      <w:r>
        <w:rPr>
          <w:b/>
        </w:rPr>
        <w:t>Komisija, tās</w:t>
      </w:r>
      <w:r w:rsidR="00020783">
        <w:rPr>
          <w:b/>
        </w:rPr>
        <w:t xml:space="preserve"> uzdevumi un</w:t>
      </w:r>
      <w:r w:rsidR="00020783" w:rsidRPr="00020783">
        <w:rPr>
          <w:b/>
        </w:rPr>
        <w:t xml:space="preserve"> tiesības</w:t>
      </w:r>
    </w:p>
    <w:p w:rsidR="00ED5A35" w:rsidRPr="00FB354C" w:rsidRDefault="00ED5A35" w:rsidP="00ED5A35">
      <w:pPr>
        <w:ind w:left="1080" w:right="78"/>
        <w:rPr>
          <w:b/>
        </w:rPr>
      </w:pPr>
    </w:p>
    <w:p w:rsidR="00442A69" w:rsidRDefault="00442A69" w:rsidP="00020783">
      <w:pPr>
        <w:numPr>
          <w:ilvl w:val="0"/>
          <w:numId w:val="4"/>
        </w:numPr>
      </w:pPr>
      <w:r>
        <w:t>Komisiju 7 (septiņu) locekļu sastāvā, tai skaitā Komisijas priekšsēdētāju, apstiprina</w:t>
      </w:r>
      <w:r w:rsidR="00BE7E4A">
        <w:t xml:space="preserve"> Jelgavas pilsētas dome.</w:t>
      </w:r>
    </w:p>
    <w:p w:rsidR="005F450A" w:rsidRDefault="00020783" w:rsidP="00020783">
      <w:pPr>
        <w:numPr>
          <w:ilvl w:val="0"/>
          <w:numId w:val="4"/>
        </w:numPr>
      </w:pPr>
      <w:r>
        <w:t>Komisija lemj:</w:t>
      </w:r>
    </w:p>
    <w:p w:rsidR="00020783" w:rsidRDefault="00020783" w:rsidP="00020783">
      <w:pPr>
        <w:pStyle w:val="BodyTextIndent2"/>
        <w:numPr>
          <w:ilvl w:val="1"/>
          <w:numId w:val="4"/>
        </w:numPr>
        <w:ind w:right="78"/>
        <w:jc w:val="both"/>
        <w:rPr>
          <w:rFonts w:ascii="Times New Roman" w:hAnsi="Times New Roman"/>
        </w:rPr>
      </w:pPr>
      <w:r>
        <w:rPr>
          <w:rFonts w:ascii="Times New Roman" w:hAnsi="Times New Roman"/>
        </w:rPr>
        <w:t>par personas reģistrēšanu vai izslēgšanu no</w:t>
      </w:r>
      <w:r w:rsidR="007F3804">
        <w:rPr>
          <w:rFonts w:ascii="Times New Roman" w:hAnsi="Times New Roman"/>
        </w:rPr>
        <w:t xml:space="preserve"> Jelgavas pilsētas pašvaldības palīdzības</w:t>
      </w:r>
      <w:r w:rsidR="00FB354C">
        <w:rPr>
          <w:rFonts w:ascii="Times New Roman" w:hAnsi="Times New Roman"/>
        </w:rPr>
        <w:t xml:space="preserve"> dzīvokļu jautājumu risināšanā </w:t>
      </w:r>
      <w:r w:rsidR="00A119DD">
        <w:rPr>
          <w:rFonts w:ascii="Times New Roman" w:hAnsi="Times New Roman"/>
        </w:rPr>
        <w:t>reģistr</w:t>
      </w:r>
      <w:r w:rsidR="00AA67FC">
        <w:rPr>
          <w:rFonts w:ascii="Times New Roman" w:hAnsi="Times New Roman"/>
        </w:rPr>
        <w:t>iem</w:t>
      </w:r>
      <w:r w:rsidR="00A119DD">
        <w:rPr>
          <w:rFonts w:ascii="Times New Roman" w:hAnsi="Times New Roman"/>
        </w:rPr>
        <w:t xml:space="preserve"> </w:t>
      </w:r>
      <w:r w:rsidR="00FB354C">
        <w:rPr>
          <w:rFonts w:ascii="Times New Roman" w:hAnsi="Times New Roman"/>
        </w:rPr>
        <w:t xml:space="preserve">vai no denacionalizētās vai likumīgajam īpašniekam atdotās dzīvojamās telpas atbrīvošanas pabalsta </w:t>
      </w:r>
      <w:r w:rsidR="007F3804">
        <w:rPr>
          <w:rFonts w:ascii="Times New Roman" w:hAnsi="Times New Roman"/>
        </w:rPr>
        <w:t>reģistra</w:t>
      </w:r>
      <w:r>
        <w:rPr>
          <w:rFonts w:ascii="Times New Roman" w:hAnsi="Times New Roman"/>
        </w:rPr>
        <w:t>;</w:t>
      </w:r>
    </w:p>
    <w:p w:rsidR="007F3804" w:rsidRPr="007F3804" w:rsidRDefault="007F3804" w:rsidP="007F3804">
      <w:pPr>
        <w:pStyle w:val="BodyTextIndent2"/>
        <w:numPr>
          <w:ilvl w:val="1"/>
          <w:numId w:val="4"/>
        </w:numPr>
        <w:ind w:right="78"/>
        <w:jc w:val="both"/>
        <w:rPr>
          <w:rFonts w:ascii="Times New Roman" w:hAnsi="Times New Roman"/>
        </w:rPr>
      </w:pPr>
      <w:r>
        <w:rPr>
          <w:rFonts w:ascii="Times New Roman" w:hAnsi="Times New Roman"/>
        </w:rPr>
        <w:t xml:space="preserve">par pašvaldības īpašumā vai lietojumā esošo dzīvojamo telpu izīrēšanu </w:t>
      </w:r>
      <w:r w:rsidRPr="007F3804">
        <w:rPr>
          <w:rFonts w:ascii="Times New Roman" w:hAnsi="Times New Roman"/>
        </w:rPr>
        <w:t>un īres līguma termiņa atjaunošanu vai pagarināšanu;</w:t>
      </w:r>
    </w:p>
    <w:p w:rsidR="007F3804" w:rsidRDefault="007F3804" w:rsidP="007F3804">
      <w:pPr>
        <w:pStyle w:val="BodyTextIndent2"/>
        <w:numPr>
          <w:ilvl w:val="1"/>
          <w:numId w:val="4"/>
        </w:numPr>
        <w:ind w:right="78"/>
        <w:jc w:val="both"/>
        <w:rPr>
          <w:rFonts w:ascii="Times New Roman" w:hAnsi="Times New Roman"/>
        </w:rPr>
      </w:pPr>
      <w:r>
        <w:rPr>
          <w:rFonts w:ascii="Times New Roman" w:hAnsi="Times New Roman"/>
        </w:rPr>
        <w:t>par pašvaldības īpašumā vai lietojumā esošo dzīvojamo telpu apmaiņu;</w:t>
      </w:r>
    </w:p>
    <w:p w:rsidR="007F3804" w:rsidRDefault="007F3804" w:rsidP="007F3804">
      <w:pPr>
        <w:pStyle w:val="BodyTextIndent2"/>
        <w:numPr>
          <w:ilvl w:val="1"/>
          <w:numId w:val="4"/>
        </w:numPr>
        <w:ind w:right="78"/>
        <w:jc w:val="both"/>
        <w:rPr>
          <w:rFonts w:ascii="Times New Roman" w:hAnsi="Times New Roman"/>
        </w:rPr>
      </w:pPr>
      <w:r>
        <w:rPr>
          <w:rFonts w:ascii="Times New Roman" w:hAnsi="Times New Roman"/>
        </w:rPr>
        <w:t xml:space="preserve">par vienreizējā pabalsta piešķiršanu dzīvojamās telpas vai dzīvojamās mājas remontam;  </w:t>
      </w:r>
    </w:p>
    <w:p w:rsidR="007F3804" w:rsidRDefault="007F3804" w:rsidP="007F3804">
      <w:pPr>
        <w:pStyle w:val="BodyTextIndent2"/>
        <w:numPr>
          <w:ilvl w:val="1"/>
          <w:numId w:val="4"/>
        </w:numPr>
        <w:ind w:right="78"/>
        <w:jc w:val="both"/>
        <w:rPr>
          <w:rFonts w:ascii="Times New Roman" w:hAnsi="Times New Roman"/>
        </w:rPr>
      </w:pPr>
      <w:r>
        <w:rPr>
          <w:rFonts w:ascii="Times New Roman" w:hAnsi="Times New Roman"/>
        </w:rPr>
        <w:t>par pašvaldības īpašumā vai lietojumā esošo dzīvojamo telpu īres līgumu grozīšanu sakarā ar īrnieka maiņu;</w:t>
      </w:r>
    </w:p>
    <w:p w:rsidR="00020783" w:rsidRDefault="007F3804" w:rsidP="007F3804">
      <w:pPr>
        <w:numPr>
          <w:ilvl w:val="1"/>
          <w:numId w:val="4"/>
        </w:numPr>
        <w:jc w:val="both"/>
      </w:pPr>
      <w:r w:rsidRPr="007F3804">
        <w:t xml:space="preserve">par pašvaldības dzīvojamās telpas īres līguma </w:t>
      </w:r>
      <w:r>
        <w:t>noslēgšanu ar bijušo īrnieku vai viņ</w:t>
      </w:r>
      <w:r w:rsidR="00AA67FC">
        <w:t>a</w:t>
      </w:r>
      <w:r>
        <w:t xml:space="preserve"> ģimenes locekli</w:t>
      </w:r>
      <w:r w:rsidRPr="007F3804">
        <w:t xml:space="preserve">, ja spēkā stājies tiesas spriedums par izlikšanu no dzīvojamās telpas bez citas dzīvojamās telpas ierādīšanas un īres līguma izbeigšanu, </w:t>
      </w:r>
      <w:r>
        <w:t>spriedums nav izpildīts, bet</w:t>
      </w:r>
      <w:r w:rsidRPr="007F3804">
        <w:t xml:space="preserve"> parāds par īri un pakalpojumiem, kā arī tiesāšanās izdevumi</w:t>
      </w:r>
      <w:r>
        <w:t xml:space="preserve"> samaksāti;</w:t>
      </w:r>
    </w:p>
    <w:p w:rsidR="007F3804" w:rsidRDefault="007F3804" w:rsidP="007F3804">
      <w:pPr>
        <w:pStyle w:val="BodyTextIndent2"/>
        <w:numPr>
          <w:ilvl w:val="1"/>
          <w:numId w:val="4"/>
        </w:numPr>
        <w:ind w:right="78"/>
        <w:jc w:val="both"/>
        <w:rPr>
          <w:rFonts w:ascii="Times New Roman" w:hAnsi="Times New Roman"/>
        </w:rPr>
      </w:pPr>
      <w:r>
        <w:rPr>
          <w:rFonts w:ascii="Times New Roman" w:hAnsi="Times New Roman"/>
        </w:rPr>
        <w:t>par pašvaldības īpašumā vai lietojumā esošās dzīvojamās telpas nodošanu apakšīrē;</w:t>
      </w:r>
    </w:p>
    <w:p w:rsidR="007F3804" w:rsidRDefault="007F3804" w:rsidP="007F3804">
      <w:pPr>
        <w:pStyle w:val="BodyTextIndent2"/>
        <w:numPr>
          <w:ilvl w:val="1"/>
          <w:numId w:val="4"/>
        </w:numPr>
        <w:ind w:right="78"/>
        <w:jc w:val="both"/>
        <w:rPr>
          <w:rFonts w:ascii="Times New Roman" w:hAnsi="Times New Roman"/>
          <w:u w:val="single"/>
        </w:rPr>
      </w:pPr>
      <w:r>
        <w:rPr>
          <w:rFonts w:ascii="Times New Roman" w:hAnsi="Times New Roman"/>
        </w:rPr>
        <w:lastRenderedPageBreak/>
        <w:t>par neizīrēto dzīvojamo telpu, kuras nav nepieciešamas izīrēšanai palīdzības reģistros iekļautajām personām, nodošanu atsavināšanai;</w:t>
      </w:r>
    </w:p>
    <w:p w:rsidR="007F3804" w:rsidRDefault="007F3804" w:rsidP="007F3804">
      <w:pPr>
        <w:numPr>
          <w:ilvl w:val="1"/>
          <w:numId w:val="4"/>
        </w:numPr>
        <w:ind w:right="78"/>
        <w:jc w:val="both"/>
      </w:pPr>
      <w:r>
        <w:t>par vienreizējā dzīvojamās telpas atbrīvošanas pabalsta izmaksāšanu;</w:t>
      </w:r>
    </w:p>
    <w:p w:rsidR="007F3804" w:rsidRPr="007F3804" w:rsidRDefault="007F3804" w:rsidP="007F3804">
      <w:pPr>
        <w:numPr>
          <w:ilvl w:val="1"/>
          <w:numId w:val="4"/>
        </w:numPr>
        <w:jc w:val="both"/>
      </w:pPr>
      <w:r>
        <w:rPr>
          <w:bCs/>
        </w:rPr>
        <w:t>par uzdevuma došanu attiecīgās dzīvojamās mājas pārvaldniekam (apsaimniekotājam, pilnvarotajai personai u.c.) celt prasības tiesā par īres līguma izbeigšanu, izlikšanu no pašvaldības īpašumā vai lietojumā esošajām dzīvojamām telpām, parādu un zaudējumu piedziņu;</w:t>
      </w:r>
    </w:p>
    <w:p w:rsidR="007F3804" w:rsidRPr="00510766" w:rsidRDefault="007F3804" w:rsidP="007F3804">
      <w:pPr>
        <w:numPr>
          <w:ilvl w:val="1"/>
          <w:numId w:val="4"/>
        </w:numPr>
        <w:ind w:right="79"/>
        <w:jc w:val="both"/>
        <w:rPr>
          <w:i/>
          <w:color w:val="E7E6E6"/>
        </w:rPr>
      </w:pPr>
      <w:r w:rsidRPr="008622E0">
        <w:rPr>
          <w:bCs/>
        </w:rPr>
        <w:t>par citiem jautājumiem, kas saistīti ar pašvaldības īpašumā vai lietojumā esošās dzīvojamās telpas izīrēšanu un lietošanu.</w:t>
      </w:r>
      <w:r w:rsidRPr="00510766">
        <w:rPr>
          <w:i/>
          <w:color w:val="E7E6E6"/>
        </w:rPr>
        <w:t xml:space="preserve"> </w:t>
      </w:r>
    </w:p>
    <w:p w:rsidR="007F3804" w:rsidRDefault="007F3804" w:rsidP="007F3804">
      <w:pPr>
        <w:ind w:left="1080"/>
      </w:pPr>
    </w:p>
    <w:p w:rsidR="007F3804" w:rsidRDefault="007F3804" w:rsidP="007F3804">
      <w:pPr>
        <w:numPr>
          <w:ilvl w:val="0"/>
          <w:numId w:val="1"/>
        </w:numPr>
        <w:jc w:val="center"/>
        <w:rPr>
          <w:b/>
        </w:rPr>
      </w:pPr>
      <w:r w:rsidRPr="007F3804">
        <w:rPr>
          <w:b/>
        </w:rPr>
        <w:t xml:space="preserve">Komisijas </w:t>
      </w:r>
      <w:r w:rsidR="00BE7E4A">
        <w:rPr>
          <w:b/>
        </w:rPr>
        <w:t>darba organi</w:t>
      </w:r>
      <w:r w:rsidR="0045646A">
        <w:rPr>
          <w:b/>
        </w:rPr>
        <w:t>zēšana</w:t>
      </w:r>
    </w:p>
    <w:p w:rsidR="00ED5A35" w:rsidRDefault="00ED5A35" w:rsidP="00ED5A35">
      <w:pPr>
        <w:ind w:left="1080"/>
        <w:rPr>
          <w:b/>
        </w:rPr>
      </w:pPr>
    </w:p>
    <w:p w:rsidR="007F3804" w:rsidRDefault="00325856" w:rsidP="00A119DD">
      <w:pPr>
        <w:numPr>
          <w:ilvl w:val="0"/>
          <w:numId w:val="4"/>
        </w:numPr>
        <w:jc w:val="both"/>
      </w:pPr>
      <w:r>
        <w:t xml:space="preserve">Jelgavas pilsētas domes administrācijas Pašvaldības īpašumu pārvalde nodrošina </w:t>
      </w:r>
      <w:r w:rsidR="00BE7E4A">
        <w:t>Komisijas organizatorisko</w:t>
      </w:r>
      <w:r>
        <w:t xml:space="preserve"> un </w:t>
      </w:r>
      <w:r w:rsidR="00BE7E4A">
        <w:t>tehnisko apkalpošanu</w:t>
      </w:r>
      <w:r>
        <w:t>, kā arī</w:t>
      </w:r>
      <w:r w:rsidR="00AA67FC">
        <w:t xml:space="preserve"> </w:t>
      </w:r>
      <w:r>
        <w:t xml:space="preserve">sagatavo </w:t>
      </w:r>
      <w:r w:rsidR="00AA67FC">
        <w:t>dokumentu</w:t>
      </w:r>
      <w:r>
        <w:t>s</w:t>
      </w:r>
      <w:r w:rsidR="00AA67FC">
        <w:t xml:space="preserve"> izskatīšanai Komisijas sēdēs</w:t>
      </w:r>
      <w:r w:rsidR="007F3804">
        <w:t>.</w:t>
      </w:r>
    </w:p>
    <w:p w:rsidR="00BE7E4A" w:rsidRDefault="00BE7E4A" w:rsidP="00A119DD">
      <w:pPr>
        <w:numPr>
          <w:ilvl w:val="0"/>
          <w:numId w:val="4"/>
        </w:numPr>
        <w:jc w:val="both"/>
      </w:pPr>
      <w:r>
        <w:t>Komisijas sekretāru norī</w:t>
      </w:r>
      <w:r w:rsidR="00B968FD">
        <w:t>ko J</w:t>
      </w:r>
      <w:r>
        <w:t>elgavas pilsētas pašvaldības izpilddirektors ar rīkojumu</w:t>
      </w:r>
      <w:r w:rsidR="00B968FD">
        <w:t>.</w:t>
      </w:r>
    </w:p>
    <w:p w:rsidR="00FB354C" w:rsidRDefault="00FB354C" w:rsidP="00A119DD">
      <w:pPr>
        <w:numPr>
          <w:ilvl w:val="0"/>
          <w:numId w:val="4"/>
        </w:numPr>
        <w:jc w:val="both"/>
      </w:pPr>
      <w:r>
        <w:t>Komisijas priekšsēdētājs sasauc un vada Komisijas sēdes.</w:t>
      </w:r>
    </w:p>
    <w:p w:rsidR="0045646A" w:rsidRDefault="00FB354C" w:rsidP="00A119DD">
      <w:pPr>
        <w:numPr>
          <w:ilvl w:val="0"/>
          <w:numId w:val="4"/>
        </w:numPr>
        <w:jc w:val="both"/>
      </w:pPr>
      <w:r>
        <w:t>Komisijas priekšsēdētāja prombūtnes laikā Komisijas sēdes sasauc un vada Komisijas priekšsēdētāja vietnieks.</w:t>
      </w:r>
    </w:p>
    <w:p w:rsidR="00FB354C" w:rsidRDefault="00FB354C" w:rsidP="00A119DD">
      <w:pPr>
        <w:numPr>
          <w:ilvl w:val="0"/>
          <w:numId w:val="4"/>
        </w:numPr>
        <w:jc w:val="both"/>
      </w:pPr>
      <w:r>
        <w:t xml:space="preserve"> Komisijas sēde var notikt, ja tajā piedalās vairāk nekā puse no Komisijas locekļiem. Lēmumu pieņem ar klātesošo Komisijas locekļu balsu vairākumu. Ja balsis sadalās līdzīgi, izšķirošā ir Komisijas priekšsēdētāja balss.</w:t>
      </w:r>
    </w:p>
    <w:p w:rsidR="00FB354C" w:rsidRDefault="00FB354C" w:rsidP="00A119DD">
      <w:pPr>
        <w:numPr>
          <w:ilvl w:val="0"/>
          <w:numId w:val="4"/>
        </w:numPr>
        <w:jc w:val="both"/>
      </w:pPr>
      <w:r>
        <w:t>Komisijas sēdes tiek protokolētas. Protokolu para</w:t>
      </w:r>
      <w:bookmarkStart w:id="0" w:name="_GoBack"/>
      <w:r>
        <w:t>k</w:t>
      </w:r>
      <w:bookmarkEnd w:id="0"/>
      <w:r>
        <w:t>sta Komisijas priekšsēdētājs un sekretārs.</w:t>
      </w:r>
    </w:p>
    <w:p w:rsidR="00FB354C" w:rsidRDefault="00FB354C" w:rsidP="00FB354C"/>
    <w:p w:rsidR="00FB354C" w:rsidRDefault="00FB354C" w:rsidP="00FB354C"/>
    <w:p w:rsidR="00D3108D" w:rsidRDefault="00D3108D"/>
    <w:p w:rsidR="00ED5A35" w:rsidRPr="00ED5A35" w:rsidRDefault="00ED5A35" w:rsidP="00ED5A35">
      <w:pPr>
        <w:jc w:val="both"/>
        <w:rPr>
          <w:lang w:eastAsia="en-US"/>
        </w:rPr>
      </w:pPr>
      <w:r w:rsidRPr="00ED5A35">
        <w:rPr>
          <w:lang w:eastAsia="en-US"/>
        </w:rPr>
        <w:t>Domes priekšsēdētāja vietniece</w:t>
      </w:r>
      <w:r w:rsidRPr="00ED5A35">
        <w:rPr>
          <w:lang w:eastAsia="en-US"/>
        </w:rPr>
        <w:tab/>
      </w:r>
      <w:r w:rsidRPr="00ED5A35">
        <w:rPr>
          <w:lang w:eastAsia="en-US"/>
        </w:rPr>
        <w:tab/>
      </w:r>
      <w:r w:rsidR="00D60858" w:rsidRPr="00D60858">
        <w:rPr>
          <w:i/>
          <w:lang w:eastAsia="en-US"/>
        </w:rPr>
        <w:t>(paraksts)</w:t>
      </w:r>
      <w:r w:rsidRPr="00ED5A35">
        <w:rPr>
          <w:lang w:eastAsia="en-US"/>
        </w:rPr>
        <w:tab/>
      </w:r>
      <w:r>
        <w:rPr>
          <w:lang w:eastAsia="en-US"/>
        </w:rPr>
        <w:tab/>
      </w:r>
      <w:r>
        <w:rPr>
          <w:lang w:eastAsia="en-US"/>
        </w:rPr>
        <w:tab/>
      </w:r>
      <w:proofErr w:type="spellStart"/>
      <w:r w:rsidRPr="00ED5A35">
        <w:rPr>
          <w:lang w:eastAsia="en-US"/>
        </w:rPr>
        <w:t>R.Vectirāne</w:t>
      </w:r>
      <w:proofErr w:type="spellEnd"/>
    </w:p>
    <w:p w:rsidR="00A119DD" w:rsidRDefault="00A119DD" w:rsidP="00ED5A35"/>
    <w:sectPr w:rsidR="00A119DD" w:rsidSect="0043121C">
      <w:footerReference w:type="default" r:id="rId7"/>
      <w:headerReference w:type="firs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50" w:rsidRDefault="00B16350">
      <w:r>
        <w:separator/>
      </w:r>
    </w:p>
  </w:endnote>
  <w:endnote w:type="continuationSeparator" w:id="0">
    <w:p w:rsidR="00B16350" w:rsidRDefault="00B1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706065"/>
      <w:docPartObj>
        <w:docPartGallery w:val="Page Numbers (Bottom of Page)"/>
        <w:docPartUnique/>
      </w:docPartObj>
    </w:sdtPr>
    <w:sdtEndPr>
      <w:rPr>
        <w:noProof/>
      </w:rPr>
    </w:sdtEndPr>
    <w:sdtContent>
      <w:p w:rsidR="00ED5A35" w:rsidRDefault="00ED5A35">
        <w:pPr>
          <w:pStyle w:val="Footer"/>
          <w:jc w:val="center"/>
        </w:pPr>
        <w:r>
          <w:fldChar w:fldCharType="begin"/>
        </w:r>
        <w:r>
          <w:instrText xml:space="preserve"> PAGE   \* MERGEFORMAT </w:instrText>
        </w:r>
        <w:r>
          <w:fldChar w:fldCharType="separate"/>
        </w:r>
        <w:r w:rsidR="00D60858">
          <w:rPr>
            <w:noProof/>
          </w:rPr>
          <w:t>2</w:t>
        </w:r>
        <w:r>
          <w:rPr>
            <w:noProof/>
          </w:rPr>
          <w:fldChar w:fldCharType="end"/>
        </w:r>
      </w:p>
    </w:sdtContent>
  </w:sdt>
  <w:p w:rsidR="00A119DD" w:rsidRDefault="00A11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151592"/>
      <w:docPartObj>
        <w:docPartGallery w:val="Page Numbers (Bottom of Page)"/>
        <w:docPartUnique/>
      </w:docPartObj>
    </w:sdtPr>
    <w:sdtEndPr>
      <w:rPr>
        <w:noProof/>
      </w:rPr>
    </w:sdtEndPr>
    <w:sdtContent>
      <w:p w:rsidR="00ED5A35" w:rsidRDefault="00ED5A35">
        <w:pPr>
          <w:pStyle w:val="Footer"/>
          <w:jc w:val="center"/>
        </w:pPr>
        <w:r>
          <w:fldChar w:fldCharType="begin"/>
        </w:r>
        <w:r>
          <w:instrText xml:space="preserve"> PAGE   \* MERGEFORMAT </w:instrText>
        </w:r>
        <w:r>
          <w:fldChar w:fldCharType="separate"/>
        </w:r>
        <w:r w:rsidR="00D60858">
          <w:rPr>
            <w:noProof/>
          </w:rPr>
          <w:t>1</w:t>
        </w:r>
        <w:r>
          <w:rPr>
            <w:noProof/>
          </w:rPr>
          <w:fldChar w:fldCharType="end"/>
        </w:r>
      </w:p>
    </w:sdtContent>
  </w:sdt>
  <w:p w:rsidR="00ED5A35" w:rsidRDefault="00ED5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50" w:rsidRDefault="00B16350">
      <w:r>
        <w:separator/>
      </w:r>
    </w:p>
  </w:footnote>
  <w:footnote w:type="continuationSeparator" w:id="0">
    <w:p w:rsidR="00B16350" w:rsidRDefault="00B16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0A" w:rsidRDefault="00B968FD"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B968FD" w:rsidP="005F450A">
                          <w:pPr>
                            <w:pStyle w:val="Header"/>
                            <w:rPr>
                              <w:rFonts w:ascii="Arial" w:hAnsi="Arial"/>
                              <w:b/>
                              <w:sz w:val="28"/>
                            </w:rPr>
                          </w:pPr>
                          <w:r>
                            <w:rPr>
                              <w:rFonts w:ascii="Arial" w:hAnsi="Arial"/>
                              <w:b/>
                              <w:noProof/>
                              <w:sz w:val="28"/>
                            </w:rPr>
                            <w:drawing>
                              <wp:inline distT="0" distB="0" distL="0" distR="0">
                                <wp:extent cx="721360" cy="869315"/>
                                <wp:effectExtent l="0" t="0" r="2540" b="698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693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B968FD" w:rsidP="005F450A">
                    <w:pPr>
                      <w:pStyle w:val="Header"/>
                      <w:rPr>
                        <w:rFonts w:ascii="Arial" w:hAnsi="Arial"/>
                        <w:b/>
                        <w:sz w:val="28"/>
                      </w:rPr>
                    </w:pPr>
                    <w:r>
                      <w:rPr>
                        <w:rFonts w:ascii="Arial" w:hAnsi="Arial"/>
                        <w:b/>
                        <w:noProof/>
                        <w:sz w:val="28"/>
                      </w:rPr>
                      <w:drawing>
                        <wp:inline distT="0" distB="0" distL="0" distR="0">
                          <wp:extent cx="721360" cy="869315"/>
                          <wp:effectExtent l="0" t="0" r="2540" b="698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86931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 xml:space="preserve">3029059, </w:t>
    </w:r>
    <w:proofErr w:type="spellStart"/>
    <w:r>
      <w:rPr>
        <w:rFonts w:ascii="Arial" w:hAnsi="Arial"/>
        <w:sz w:val="20"/>
        <w:szCs w:val="20"/>
      </w:rPr>
      <w:t>e-mail:</w:t>
    </w:r>
    <w:smartTag w:uri="urn:schemas-microsoft-com:office:smarttags" w:element="PersonName">
      <w:r>
        <w:rPr>
          <w:rFonts w:ascii="Arial" w:hAnsi="Arial"/>
          <w:sz w:val="20"/>
          <w:szCs w:val="20"/>
        </w:rPr>
        <w:t>dome@dome.jelgava.lv</w:t>
      </w:r>
    </w:smartTag>
    <w:proofErr w:type="spellEnd"/>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44BEE"/>
    <w:multiLevelType w:val="multilevel"/>
    <w:tmpl w:val="11BCCD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C9D3CC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FCB5BCC"/>
    <w:multiLevelType w:val="hybridMultilevel"/>
    <w:tmpl w:val="D4848780"/>
    <w:lvl w:ilvl="0" w:tplc="BBECE1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B92E54"/>
    <w:multiLevelType w:val="hybridMultilevel"/>
    <w:tmpl w:val="0588B4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3B378C7"/>
    <w:multiLevelType w:val="multilevel"/>
    <w:tmpl w:val="7F762F34"/>
    <w:lvl w:ilvl="0">
      <w:start w:val="3"/>
      <w:numFmt w:val="decimal"/>
      <w:lvlText w:val="%1."/>
      <w:lvlJc w:val="left"/>
      <w:pPr>
        <w:ind w:left="480" w:hanging="480"/>
      </w:pPr>
      <w:rPr>
        <w:rFonts w:hint="default"/>
        <w:i w:val="0"/>
        <w:color w:val="auto"/>
      </w:rPr>
    </w:lvl>
    <w:lvl w:ilvl="1">
      <w:start w:val="13"/>
      <w:numFmt w:val="decimal"/>
      <w:lvlText w:val="%1.%2."/>
      <w:lvlJc w:val="left"/>
      <w:pPr>
        <w:ind w:left="764" w:hanging="480"/>
      </w:pPr>
      <w:rPr>
        <w:rFonts w:hint="default"/>
        <w:i w:val="0"/>
        <w:color w:val="auto"/>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E0"/>
    <w:rsid w:val="00020783"/>
    <w:rsid w:val="00021DDE"/>
    <w:rsid w:val="00167F75"/>
    <w:rsid w:val="001A7689"/>
    <w:rsid w:val="00234525"/>
    <w:rsid w:val="00284121"/>
    <w:rsid w:val="00325856"/>
    <w:rsid w:val="003B049D"/>
    <w:rsid w:val="003C04EA"/>
    <w:rsid w:val="0043121C"/>
    <w:rsid w:val="00442A69"/>
    <w:rsid w:val="0045646A"/>
    <w:rsid w:val="004B5683"/>
    <w:rsid w:val="005F450A"/>
    <w:rsid w:val="006139B3"/>
    <w:rsid w:val="00615C22"/>
    <w:rsid w:val="00696DB4"/>
    <w:rsid w:val="007F3804"/>
    <w:rsid w:val="00875744"/>
    <w:rsid w:val="009269C7"/>
    <w:rsid w:val="009748D8"/>
    <w:rsid w:val="00A119DD"/>
    <w:rsid w:val="00AA67FC"/>
    <w:rsid w:val="00AF54C0"/>
    <w:rsid w:val="00B16350"/>
    <w:rsid w:val="00B7291C"/>
    <w:rsid w:val="00B72BBC"/>
    <w:rsid w:val="00B908CC"/>
    <w:rsid w:val="00B968FD"/>
    <w:rsid w:val="00BE7E4A"/>
    <w:rsid w:val="00CB262E"/>
    <w:rsid w:val="00D3108D"/>
    <w:rsid w:val="00D60858"/>
    <w:rsid w:val="00DC009C"/>
    <w:rsid w:val="00EC06E0"/>
    <w:rsid w:val="00ED5A35"/>
    <w:rsid w:val="00F24A9C"/>
    <w:rsid w:val="00F47D49"/>
    <w:rsid w:val="00F60AD7"/>
    <w:rsid w:val="00F73BF7"/>
    <w:rsid w:val="00FB354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2B37E10E-DBB0-4765-8B05-793CAD14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0783"/>
    <w:pPr>
      <w:keepNext/>
      <w:jc w:val="center"/>
      <w:outlineLvl w:val="0"/>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sid w:val="00020783"/>
    <w:rPr>
      <w:b/>
      <w:bCs/>
      <w:sz w:val="28"/>
      <w:szCs w:val="24"/>
      <w:lang w:eastAsia="en-US"/>
    </w:rPr>
  </w:style>
  <w:style w:type="character" w:styleId="PageNumber">
    <w:name w:val="page number"/>
    <w:basedOn w:val="DefaultParagraphFont"/>
  </w:style>
  <w:style w:type="paragraph" w:styleId="BodyTextIndent2">
    <w:name w:val="Body Text Indent 2"/>
    <w:basedOn w:val="Normal"/>
    <w:link w:val="BodyTextIndent2Char"/>
    <w:rsid w:val="00020783"/>
    <w:pPr>
      <w:ind w:left="-600"/>
    </w:pPr>
    <w:rPr>
      <w:rFonts w:ascii="Arial" w:hAnsi="Arial" w:cs="Arial"/>
      <w:lang w:eastAsia="en-US"/>
    </w:rPr>
  </w:style>
  <w:style w:type="character" w:customStyle="1" w:styleId="BodyTextIndent2Char">
    <w:name w:val="Body Text Indent 2 Char"/>
    <w:basedOn w:val="DefaultParagraphFont"/>
    <w:link w:val="BodyTextIndent2"/>
    <w:rsid w:val="00020783"/>
    <w:rPr>
      <w:rFonts w:ascii="Arial" w:hAnsi="Arial" w:cs="Arial"/>
      <w:sz w:val="24"/>
      <w:szCs w:val="24"/>
      <w:lang w:eastAsia="en-US"/>
    </w:rPr>
  </w:style>
  <w:style w:type="paragraph" w:styleId="ListParagraph">
    <w:name w:val="List Paragraph"/>
    <w:basedOn w:val="Normal"/>
    <w:uiPriority w:val="34"/>
    <w:qFormat/>
    <w:rsid w:val="00FB354C"/>
    <w:pPr>
      <w:ind w:left="720"/>
      <w:contextualSpacing/>
    </w:pPr>
  </w:style>
  <w:style w:type="character" w:customStyle="1" w:styleId="FooterChar">
    <w:name w:val="Footer Char"/>
    <w:basedOn w:val="DefaultParagraphFont"/>
    <w:link w:val="Footer"/>
    <w:uiPriority w:val="99"/>
    <w:rsid w:val="00A119DD"/>
    <w:rPr>
      <w:sz w:val="24"/>
      <w:szCs w:val="24"/>
    </w:rPr>
  </w:style>
  <w:style w:type="paragraph" w:styleId="BalloonText">
    <w:name w:val="Balloon Text"/>
    <w:basedOn w:val="Normal"/>
    <w:link w:val="BalloonTextChar"/>
    <w:rsid w:val="00AF54C0"/>
    <w:rPr>
      <w:rFonts w:ascii="Segoe UI" w:hAnsi="Segoe UI" w:cs="Segoe UI"/>
      <w:sz w:val="18"/>
      <w:szCs w:val="18"/>
    </w:rPr>
  </w:style>
  <w:style w:type="character" w:customStyle="1" w:styleId="BalloonTextChar">
    <w:name w:val="Balloon Text Char"/>
    <w:basedOn w:val="DefaultParagraphFont"/>
    <w:link w:val="BalloonText"/>
    <w:rsid w:val="00AF5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cp:keywords/>
  <dc:description/>
  <cp:revision>3</cp:revision>
  <cp:lastPrinted>2017-09-22T10:58:00Z</cp:lastPrinted>
  <dcterms:created xsi:type="dcterms:W3CDTF">2017-09-25T05:23:00Z</dcterms:created>
  <dcterms:modified xsi:type="dcterms:W3CDTF">2023-03-06T09:42:00Z</dcterms:modified>
</cp:coreProperties>
</file>